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重汽（济南）轻卡有限公司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52"/>
          <w:szCs w:val="52"/>
        </w:rPr>
        <w:t xml:space="preserve"> </w:t>
      </w:r>
      <w:r>
        <w:rPr>
          <w:rFonts w:hint="eastAsia" w:ascii="Calibri" w:hAnsi="宋体" w:eastAsia="宋体" w:cs="Times New Roman"/>
          <w:b/>
          <w:bCs/>
          <w:color w:val="000000"/>
          <w:spacing w:val="-8"/>
          <w:sz w:val="52"/>
          <w:szCs w:val="52"/>
          <w:lang w:val="en-US" w:eastAsia="zh-CN"/>
        </w:rPr>
        <w:t>灯检线设备</w:t>
      </w:r>
      <w:r>
        <w:rPr>
          <w:rFonts w:hint="eastAsia" w:ascii="Calibri" w:hAnsi="宋体" w:eastAsia="宋体" w:cs="Times New Roman"/>
          <w:b/>
          <w:bCs/>
          <w:color w:val="000000"/>
          <w:spacing w:val="-8"/>
          <w:sz w:val="52"/>
          <w:szCs w:val="52"/>
          <w:highlight w:val="none"/>
          <w:lang w:eastAsia="zh-CN"/>
        </w:rPr>
        <w:t>项目</w:t>
      </w:r>
    </w:p>
    <w:p>
      <w:pPr>
        <w:spacing w:line="276" w:lineRule="auto"/>
        <w:jc w:val="center"/>
        <w:rPr>
          <w:rFonts w:hint="default" w:ascii="Calibri" w:hAnsi="宋体" w:eastAsia="宋体" w:cs="Times New Roman"/>
          <w:b/>
          <w:bCs/>
          <w:color w:val="000000"/>
          <w:spacing w:val="-8"/>
          <w:kern w:val="2"/>
          <w:sz w:val="72"/>
          <w:szCs w:val="72"/>
          <w:lang w:val="en-US" w:eastAsia="zh-CN" w:bidi="ar-SA"/>
        </w:rPr>
      </w:pPr>
    </w:p>
    <w:p>
      <w:pPr>
        <w:pStyle w:val="17"/>
        <w:rPr>
          <w:rFonts w:hint="eastAsia"/>
          <w:lang w:eastAsia="zh-CN"/>
        </w:rPr>
      </w:pPr>
    </w:p>
    <w:p>
      <w:pPr>
        <w:pStyle w:val="17"/>
        <w:rPr>
          <w:rFonts w:hint="eastAsia"/>
          <w:lang w:eastAsia="zh-CN"/>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hint="eastAsia" w:ascii="华文仿宋" w:hAnsi="华文仿宋" w:eastAsia="华文仿宋"/>
          <w:b/>
          <w:bCs/>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pPr>
        <w:jc w:val="center"/>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202</w:t>
      </w:r>
      <w:r>
        <w:rPr>
          <w:rFonts w:hint="eastAsia" w:ascii="宋体" w:hAnsi="宋体" w:eastAsia="宋体" w:cs="宋体"/>
          <w:color w:val="000000"/>
          <w:sz w:val="28"/>
          <w:szCs w:val="28"/>
          <w:highlight w:val="none"/>
          <w:lang w:val="en-US" w:eastAsia="zh-CN"/>
        </w:rPr>
        <w:t>4</w:t>
      </w:r>
      <w:r>
        <w:rPr>
          <w:rFonts w:hint="eastAsia" w:ascii="宋体" w:hAnsi="宋体" w:eastAsia="宋体" w:cs="宋体"/>
          <w:color w:val="000000"/>
          <w:sz w:val="28"/>
          <w:szCs w:val="28"/>
          <w:highlight w:val="none"/>
        </w:rPr>
        <w:t>年</w:t>
      </w:r>
      <w:r>
        <w:rPr>
          <w:rFonts w:hint="eastAsia" w:ascii="宋体" w:hAnsi="宋体" w:eastAsia="宋体" w:cs="宋体"/>
          <w:color w:val="000000"/>
          <w:sz w:val="28"/>
          <w:szCs w:val="28"/>
          <w:highlight w:val="none"/>
          <w:lang w:val="en-US" w:eastAsia="zh-CN"/>
        </w:rPr>
        <w:t>1</w:t>
      </w:r>
      <w:r>
        <w:rPr>
          <w:rFonts w:hint="eastAsia" w:ascii="宋体" w:hAnsi="宋体" w:eastAsia="宋体" w:cs="宋体"/>
          <w:color w:val="000000"/>
          <w:sz w:val="28"/>
          <w:szCs w:val="28"/>
          <w:highlight w:val="none"/>
        </w:rPr>
        <w:t>月</w:t>
      </w:r>
    </w:p>
    <w:p>
      <w:pPr>
        <w:keepNext/>
        <w:keepLines/>
        <w:jc w:val="center"/>
        <w:rPr>
          <w:rFonts w:hint="eastAsia" w:ascii="宋体" w:hAnsi="宋体" w:eastAsia="宋体" w:cs="宋体"/>
          <w:b/>
          <w:bCs/>
          <w:kern w:val="44"/>
          <w:sz w:val="36"/>
          <w:szCs w:val="44"/>
          <w:highlight w:val="none"/>
        </w:rPr>
        <w:sectPr>
          <w:footerReference r:id="rId4" w:type="first"/>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48</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6"/>
                <w:rFonts w:ascii="宋体" w:hAnsi="宋体" w:eastAsia="宋体" w:cs="宋体"/>
                <w:b/>
                <w:sz w:val="28"/>
                <w:szCs w:val="28"/>
              </w:rPr>
            </w:pPr>
            <w:bookmarkStart w:id="3" w:name="_Toc346372875"/>
            <w:r>
              <w:rPr>
                <w:rStyle w:val="136"/>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6"/>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val="en-US" w:eastAsia="zh-CN"/>
              </w:rPr>
              <w:t>灯检线设备项目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b/>
                <w:bCs/>
                <w:sz w:val="24"/>
                <w:szCs w:val="24"/>
                <w:highlight w:val="yellow"/>
                <w:lang w:eastAsia="zh-CN"/>
              </w:rPr>
              <w:t>CGZX2023100279</w:t>
            </w:r>
          </w:p>
        </w:tc>
      </w:tr>
      <w:tr>
        <w:tblPrEx>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b/>
                <w:bCs/>
                <w:sz w:val="24"/>
                <w:szCs w:val="24"/>
                <w:highlight w:val="none"/>
                <w:lang w:val="en-US" w:eastAsia="zh-CN"/>
              </w:rPr>
              <w:t>采购1套板链式灯廊检测线设备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shd w:val="clear" w:color="auto" w:fill="auto"/>
            <w:vAlign w:val="center"/>
          </w:tcPr>
          <w:p>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shd w:val="clear" w:fill="FFFF00"/>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重汽（济南）轻卡有限公司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山东省济南市章丘区圣井街道潘王路</w:t>
            </w:r>
            <w:r>
              <w:rPr>
                <w:rFonts w:hint="eastAsia" w:ascii="宋体" w:hAnsi="宋体" w:eastAsia="宋体" w:cs="宋体"/>
                <w:sz w:val="24"/>
                <w:szCs w:val="24"/>
                <w:highlight w:val="none"/>
                <w:u w:val="single"/>
                <w:lang w:val="en-US" w:eastAsia="zh-CN"/>
              </w:rPr>
              <w:t>东园区十一号路北</w:t>
            </w:r>
            <w:r>
              <w:rPr>
                <w:rFonts w:hint="eastAsia" w:ascii="宋体" w:hAnsi="宋体" w:eastAsia="宋体" w:cs="宋体"/>
                <w:sz w:val="24"/>
                <w:szCs w:val="24"/>
                <w:highlight w:val="none"/>
                <w:u w:val="singl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喻新</w:t>
            </w:r>
          </w:p>
          <w:p>
            <w:pPr>
              <w:pStyle w:val="17"/>
              <w:ind w:firstLine="482" w:firstLineChars="200"/>
              <w:rPr>
                <w:rFonts w:hint="default" w:eastAsia="宋体"/>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17398245138</w:t>
            </w:r>
          </w:p>
          <w:p>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snapToGrid w:val="0"/>
                <w:kern w:val="0"/>
                <w:sz w:val="24"/>
                <w:szCs w:val="24"/>
                <w:highlight w:val="none"/>
                <w:lang w:val="en-US" w:eastAsia="zh-CN"/>
              </w:rPr>
              <w:t>qkbyuxin@sinotruk.com</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技术</w:t>
            </w:r>
            <w:r>
              <w:rPr>
                <w:rFonts w:hint="eastAsia" w:ascii="宋体" w:hAnsi="宋体" w:eastAsia="宋体" w:cs="宋体"/>
                <w:b/>
                <w:bCs/>
                <w:sz w:val="24"/>
                <w:szCs w:val="24"/>
              </w:rPr>
              <w:t>联系人：</w:t>
            </w:r>
            <w:r>
              <w:rPr>
                <w:rFonts w:hint="eastAsia" w:ascii="宋体" w:hAnsi="宋体" w:eastAsia="宋体" w:cs="宋体"/>
                <w:b/>
                <w:bCs/>
                <w:sz w:val="24"/>
                <w:szCs w:val="24"/>
                <w:lang w:val="en-US" w:eastAsia="zh-CN"/>
              </w:rPr>
              <w:t>吴忠鹏</w:t>
            </w:r>
          </w:p>
          <w:p>
            <w:pPr>
              <w:ind w:firstLine="482" w:firstLineChars="200"/>
              <w:rPr>
                <w:rFonts w:hint="eastAsia" w:ascii="宋体" w:hAnsi="宋体" w:eastAsia="宋体" w:cs="宋体"/>
                <w:bCs/>
                <w:snapToGrid w:val="0"/>
                <w:kern w:val="0"/>
                <w:sz w:val="24"/>
                <w:szCs w:val="24"/>
                <w:highlight w:val="none"/>
                <w:lang w:val="en-US" w:eastAsia="zh-CN" w:bidi="ar-SA"/>
              </w:rPr>
            </w:pPr>
            <w:r>
              <w:rPr>
                <w:rFonts w:hint="eastAsia" w:ascii="宋体" w:hAnsi="宋体" w:eastAsia="宋体" w:cs="宋体"/>
                <w:b/>
                <w:bCs/>
                <w:sz w:val="24"/>
                <w:szCs w:val="24"/>
              </w:rPr>
              <w:t>电话：15033759153</w:t>
            </w:r>
          </w:p>
          <w:p>
            <w:pPr>
              <w:keepNext w:val="0"/>
              <w:keepLines w:val="0"/>
              <w:widowControl w:val="0"/>
              <w:suppressLineNumbers w:val="0"/>
              <w:spacing w:before="0" w:beforeAutospacing="0" w:after="0" w:afterAutospacing="0"/>
              <w:ind w:left="0" w:right="0" w:firstLine="482" w:firstLineChars="200"/>
              <w:jc w:val="both"/>
              <w:rPr>
                <w:rFonts w:hint="default"/>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：wuzhongpeng@sinotruk.com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4"/>
              <w:ind w:firstLine="482" w:firstLineChars="200"/>
              <w:rPr>
                <w:rFonts w:hint="default" w:eastAsia="宋体"/>
                <w:lang w:val="en-US" w:eastAsia="zh-CN"/>
              </w:rPr>
            </w:pPr>
            <w:r>
              <w:rPr>
                <w:rFonts w:hint="eastAsia" w:ascii="宋体" w:hAnsi="宋体" w:eastAsia="宋体" w:cs="宋体"/>
                <w:b/>
                <w:bCs/>
                <w:caps w:val="0"/>
                <w:color w:val="auto"/>
                <w:kern w:val="2"/>
                <w:sz w:val="24"/>
                <w:szCs w:val="24"/>
                <w:lang w:val="en-US" w:eastAsia="zh-CN" w:bidi="ar-SA"/>
              </w:rPr>
              <w:t>投标限价：</w:t>
            </w:r>
            <w:r>
              <w:rPr>
                <w:rFonts w:hint="eastAsia" w:cs="宋体"/>
                <w:b/>
                <w:bCs/>
                <w:caps w:val="0"/>
                <w:color w:val="auto"/>
                <w:kern w:val="2"/>
                <w:sz w:val="24"/>
                <w:szCs w:val="24"/>
                <w:highlight w:val="yellow"/>
                <w:lang w:val="en-US" w:eastAsia="zh-CN" w:bidi="ar-SA"/>
              </w:rPr>
              <w:t>80</w:t>
            </w:r>
            <w:r>
              <w:rPr>
                <w:rFonts w:hint="eastAsia" w:ascii="宋体" w:hAnsi="宋体" w:eastAsia="宋体" w:cs="宋体"/>
                <w:b/>
                <w:bCs/>
                <w:caps w:val="0"/>
                <w:color w:val="auto"/>
                <w:kern w:val="2"/>
                <w:sz w:val="24"/>
                <w:szCs w:val="24"/>
                <w:lang w:val="en-US" w:eastAsia="zh-CN" w:bidi="ar-SA"/>
              </w:rPr>
              <w:t>万（含税），超过投标限价无法投标。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lang w:val="en-US" w:eastAsia="zh-CN"/>
              </w:rPr>
              <w:t>三</w:t>
            </w:r>
            <w:r>
              <w:rPr>
                <w:rFonts w:hint="eastAsia" w:ascii="宋体" w:hAnsi="宋体" w:eastAsia="宋体" w:cs="宋体"/>
                <w:b/>
                <w:color w:val="000000"/>
                <w:sz w:val="24"/>
                <w:szCs w:val="24"/>
                <w:highlight w:val="yellow"/>
                <w:u w:val="single"/>
              </w:rPr>
              <w:t>年以上</w:t>
            </w:r>
            <w:r>
              <w:rPr>
                <w:rFonts w:hint="eastAsia" w:ascii="宋体" w:hAnsi="宋体" w:eastAsia="宋体" w:cs="宋体"/>
                <w:color w:val="000000"/>
                <w:sz w:val="24"/>
                <w:szCs w:val="24"/>
              </w:rPr>
              <w:t>（以营业执照成立日期到开标当日满</w:t>
            </w:r>
            <w:r>
              <w:rPr>
                <w:rFonts w:hint="eastAsia" w:hAnsi="宋体" w:eastAsia="宋体" w:cs="宋体"/>
                <w:color w:val="000000"/>
                <w:sz w:val="24"/>
                <w:szCs w:val="24"/>
                <w:lang w:val="en-US" w:eastAsia="zh-CN"/>
              </w:rPr>
              <w:t>三</w:t>
            </w:r>
            <w:r>
              <w:rPr>
                <w:rFonts w:hint="eastAsia" w:ascii="宋体" w:hAnsi="宋体" w:eastAsia="宋体" w:cs="宋体"/>
                <w:color w:val="000000"/>
                <w:sz w:val="24"/>
                <w:szCs w:val="24"/>
              </w:rPr>
              <w:t>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4.拟投标人在“国家企业信用信息公示系统”、“中国执行信息公开网”、“信用中国”、“天眼查”“裁判文书网”等信息平台中，无行政处罚及失信记录等信息；</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w:t>
            </w:r>
            <w:r>
              <w:rPr>
                <w:rFonts w:hint="eastAsia" w:hAnsi="宋体" w:eastAsia="宋体" w:cs="宋体"/>
                <w:color w:val="000000"/>
                <w:sz w:val="24"/>
                <w:szCs w:val="24"/>
              </w:rPr>
              <w:t>拟投标人</w:t>
            </w:r>
            <w:r>
              <w:rPr>
                <w:rFonts w:hint="eastAsia" w:hAnsi="宋体" w:eastAsia="宋体" w:cs="宋体"/>
                <w:sz w:val="24"/>
                <w:szCs w:val="24"/>
                <w:highlight w:val="yellow"/>
                <w:lang w:eastAsia="zh-CN"/>
              </w:rPr>
              <w:t>2020年1月1日</w:t>
            </w:r>
            <w:r>
              <w:rPr>
                <w:rFonts w:hint="eastAsia" w:hAnsi="宋体" w:eastAsia="宋体" w:cs="宋体"/>
                <w:sz w:val="24"/>
                <w:szCs w:val="24"/>
              </w:rPr>
              <w:t>至今</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p>
          <w:p>
            <w:pPr>
              <w:pStyle w:val="17"/>
              <w:ind w:firstLine="480" w:firstLineChars="200"/>
              <w:rPr>
                <w:rFonts w:hint="eastAsia" w:hAnsi="宋体" w:eastAsia="宋体" w:cs="宋体"/>
                <w:kern w:val="0"/>
                <w:sz w:val="24"/>
                <w:szCs w:val="24"/>
                <w:highlight w:val="yellow"/>
                <w:lang w:eastAsia="zh-CN" w:bidi="ar"/>
              </w:rPr>
            </w:pPr>
            <w:r>
              <w:rPr>
                <w:rFonts w:hint="eastAsia" w:hAnsi="宋体" w:eastAsia="宋体" w:cs="宋体"/>
                <w:color w:val="000000"/>
                <w:kern w:val="0"/>
                <w:sz w:val="24"/>
                <w:szCs w:val="24"/>
                <w:highlight w:val="yellow"/>
              </w:rPr>
              <w:t>7.</w:t>
            </w:r>
            <w:r>
              <w:rPr>
                <w:rFonts w:hint="eastAsia" w:hAnsi="宋体" w:eastAsia="宋体" w:cs="宋体"/>
                <w:color w:val="000000"/>
                <w:sz w:val="24"/>
                <w:szCs w:val="24"/>
                <w:highlight w:val="yellow"/>
              </w:rPr>
              <w:t>拟投标人2020年1月1日至今，有与本次招标内容相同或类似项目业绩，且近</w:t>
            </w:r>
            <w:r>
              <w:rPr>
                <w:rFonts w:hint="eastAsia" w:hAnsi="宋体" w:eastAsia="宋体" w:cs="宋体"/>
                <w:color w:val="000000"/>
                <w:sz w:val="24"/>
                <w:szCs w:val="24"/>
                <w:highlight w:val="yellow"/>
                <w:lang w:val="en-US" w:eastAsia="zh-CN"/>
              </w:rPr>
              <w:t>2</w:t>
            </w:r>
            <w:r>
              <w:rPr>
                <w:rFonts w:hint="eastAsia" w:hAnsi="宋体" w:eastAsia="宋体" w:cs="宋体"/>
                <w:color w:val="000000"/>
                <w:sz w:val="24"/>
                <w:szCs w:val="24"/>
                <w:highlight w:val="yellow"/>
              </w:rPr>
              <w:t>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hint="eastAsia" w:hAnsi="宋体" w:eastAsia="宋体" w:cs="宋体"/>
                <w:color w:val="000000"/>
                <w:sz w:val="24"/>
                <w:szCs w:val="24"/>
                <w:highlight w:val="yellow"/>
              </w:rPr>
              <w:t>拟投标人近</w:t>
            </w:r>
            <w:r>
              <w:rPr>
                <w:rFonts w:hint="eastAsia" w:hAnsi="宋体" w:eastAsia="宋体" w:cs="宋体"/>
                <w:color w:val="000000"/>
                <w:sz w:val="24"/>
                <w:szCs w:val="24"/>
                <w:highlight w:val="yellow"/>
                <w:lang w:val="en-US" w:eastAsia="zh-CN"/>
              </w:rPr>
              <w:t>三</w:t>
            </w:r>
            <w:r>
              <w:rPr>
                <w:rFonts w:hint="eastAsia" w:hAnsi="宋体" w:eastAsia="宋体" w:cs="宋体"/>
                <w:color w:val="000000"/>
                <w:sz w:val="24"/>
                <w:szCs w:val="24"/>
                <w:highlight w:val="yellow"/>
              </w:rPr>
              <w:t>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highlight w:val="none"/>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1</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13</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non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w:t>
            </w:r>
            <w:r>
              <w:rPr>
                <w:rFonts w:hint="eastAsia" w:eastAsia="宋体" w:cs="宋体"/>
                <w:b/>
                <w:color w:val="000000"/>
                <w:sz w:val="24"/>
                <w:szCs w:val="24"/>
                <w:highlight w:val="none"/>
                <w:lang w:val="en-US" w:eastAsia="zh-CN"/>
              </w:rPr>
              <w:t>附件16</w:t>
            </w:r>
            <w:r>
              <w:rPr>
                <w:rFonts w:hint="eastAsia" w:ascii="宋体" w:hAnsi="宋体" w:eastAsia="宋体" w:cs="宋体"/>
                <w:b/>
                <w:color w:val="000000"/>
                <w:sz w:val="24"/>
                <w:szCs w:val="24"/>
                <w:highlight w:val="none"/>
                <w:lang w:val="en-US" w:eastAsia="zh-CN"/>
              </w:rPr>
              <w:t>）”，</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w:t>
            </w:r>
            <w:r>
              <w:rPr>
                <w:rFonts w:hint="eastAsia" w:eastAsia="宋体" w:cs="Times New Roman"/>
                <w:b/>
                <w:bCs/>
                <w:color w:val="000000"/>
                <w:sz w:val="24"/>
                <w:szCs w:val="24"/>
                <w:highlight w:val="none"/>
                <w:lang w:eastAsia="zh-CN"/>
              </w:rPr>
              <w:t>1.1-1.1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9"/>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6</w:t>
            </w:r>
            <w:r>
              <w:rPr>
                <w:rFonts w:hint="eastAsia" w:eastAsia="宋体" w:cs="宋体"/>
                <w:highlight w:val="yellow"/>
              </w:rPr>
              <w:t>日</w:t>
            </w:r>
            <w:r>
              <w:rPr>
                <w:rFonts w:hint="eastAsia" w:eastAsia="宋体" w:cs="宋体"/>
                <w:highlight w:val="yellow"/>
                <w:lang w:val="en-US" w:eastAsia="zh-CN"/>
              </w:rPr>
              <w:t>17时00分00秒</w:t>
            </w:r>
          </w:p>
          <w:p>
            <w:pPr>
              <w:pStyle w:val="119"/>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正本一份，副本二份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lang w:val="en-US" w:eastAsia="zh-CN"/>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山东省济南市章丘市圣井镇潘王路东园区十一号路北</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喻新/17398245138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hint="eastAsia" w:ascii="宋体" w:hAnsi="宋体" w:cs="宋体"/>
                <w:sz w:val="24"/>
                <w:szCs w:val="24"/>
              </w:rPr>
            </w:pPr>
            <w:bookmarkStart w:id="153" w:name="_GoBack"/>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p>
            <w:pPr>
              <w:pStyle w:val="37"/>
              <w:spacing w:after="0" w:line="240" w:lineRule="auto"/>
              <w:ind w:left="0" w:leftChars="0" w:firstLine="480"/>
              <w:rPr>
                <w:rFonts w:ascii="宋体" w:hAnsi="宋体" w:cs="宋体"/>
                <w:sz w:val="24"/>
                <w:szCs w:val="24"/>
                <w:highlight w:val="yellow"/>
                <w:u w:val="single"/>
              </w:rPr>
            </w:pPr>
            <w:r>
              <w:rPr>
                <w:rFonts w:hint="eastAsia" w:ascii="宋体" w:hAnsi="宋体" w:cs="宋体"/>
                <w:sz w:val="24"/>
                <w:szCs w:val="24"/>
              </w:rPr>
              <w:t>Ⅰ.境内投标单位缴纳投标保证金信息：</w:t>
            </w:r>
          </w:p>
          <w:p>
            <w:pPr>
              <w:pStyle w:val="37"/>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w:t>
            </w:r>
            <w:r>
              <w:rPr>
                <w:rFonts w:hint="eastAsia" w:ascii="宋体" w:hAnsi="宋体" w:cs="宋体"/>
                <w:color w:val="FF0000"/>
                <w:sz w:val="24"/>
                <w:szCs w:val="24"/>
                <w:highlight w:val="yellow"/>
              </w:rPr>
              <w:t>人民币</w:t>
            </w:r>
            <w:r>
              <w:rPr>
                <w:rFonts w:hint="eastAsia" w:ascii="宋体" w:hAnsi="宋体" w:cs="宋体"/>
                <w:color w:val="FF0000"/>
                <w:sz w:val="24"/>
                <w:szCs w:val="24"/>
                <w:highlight w:val="yellow"/>
                <w:lang w:val="en-US" w:eastAsia="zh-CN"/>
              </w:rPr>
              <w:t>100</w:t>
            </w:r>
            <w:r>
              <w:rPr>
                <w:rFonts w:hint="eastAsia" w:ascii="宋体" w:hAnsi="宋体" w:cs="宋体"/>
                <w:color w:val="FF0000"/>
                <w:sz w:val="24"/>
                <w:szCs w:val="24"/>
                <w:highlight w:val="yellow"/>
              </w:rPr>
              <w:t>00元</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开户名称：重汽（济南）轻卡有限公司</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开户银行：中国银行股份有限公司济南分行</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银行帐号：235142245067</w:t>
            </w:r>
          </w:p>
          <w:p>
            <w:pPr>
              <w:pStyle w:val="37"/>
              <w:spacing w:after="0" w:line="240" w:lineRule="auto"/>
              <w:ind w:left="0" w:leftChars="0" w:firstLine="480"/>
              <w:rPr>
                <w:rFonts w:hint="eastAsia" w:ascii="宋体" w:hAnsi="宋体" w:eastAsia="宋体" w:cs="宋体"/>
                <w:color w:val="FF0000"/>
                <w:kern w:val="2"/>
                <w:sz w:val="24"/>
                <w:szCs w:val="24"/>
                <w:lang w:val="en-US" w:eastAsia="zh-CN" w:bidi="ar-SA"/>
              </w:rPr>
            </w:pPr>
            <w:r>
              <w:rPr>
                <w:rFonts w:hint="eastAsia" w:ascii="宋体" w:hAnsi="宋体" w:eastAsia="宋体" w:cs="宋体"/>
                <w:color w:val="FF0000"/>
                <w:kern w:val="2"/>
                <w:sz w:val="24"/>
                <w:szCs w:val="24"/>
                <w:lang w:val="en-US" w:eastAsia="zh-CN" w:bidi="ar-SA"/>
              </w:rPr>
              <w:t>开户行行号：1044 5103 9687</w:t>
            </w:r>
          </w:p>
          <w:p>
            <w:pPr>
              <w:pStyle w:val="37"/>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szCs w:val="24"/>
              </w:rPr>
              <w:t>Ⅱ.</w:t>
            </w:r>
            <w:r>
              <w:rPr>
                <w:rFonts w:hint="eastAsia" w:ascii="宋体" w:hAnsi="宋体" w:eastAsia="宋体" w:cs="宋体"/>
                <w:kern w:val="2"/>
                <w:sz w:val="24"/>
                <w:szCs w:val="24"/>
                <w:lang w:val="en-US" w:eastAsia="zh-CN" w:bidi="ar-SA"/>
              </w:rPr>
              <w:t>转账附言：公司名称+项目名称+投标保证金（方便后期核对退款）</w:t>
            </w:r>
          </w:p>
          <w:p>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szCs w:val="24"/>
                <w:highlight w:val="none"/>
              </w:rPr>
              <w:t>供应商应充分考虑银行信息交换时间，由此带来的保证金不能按时到帐的责任由供应商自行承担。</w:t>
            </w:r>
            <w:bookmarkEnd w:id="15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w:t>
            </w:r>
            <w:r>
              <w:rPr>
                <w:rFonts w:hint="eastAsia" w:ascii="宋体" w:hAnsi="宋体" w:cs="宋体"/>
                <w:sz w:val="24"/>
                <w:szCs w:val="24"/>
                <w:highlight w:val="none"/>
                <w:lang w:val="en-US" w:eastAsia="zh-CN"/>
              </w:rPr>
              <w:t>6</w:t>
            </w:r>
            <w:r>
              <w:rPr>
                <w:rFonts w:hint="eastAsia" w:ascii="宋体" w:hAnsi="宋体" w:cs="宋体"/>
                <w:sz w:val="24"/>
                <w:szCs w:val="24"/>
                <w:highlight w:val="none"/>
              </w:rPr>
              <w:t>0工作日内予以原路返还（无息）；对于中标方，投标保证金将在签订合同后</w:t>
            </w:r>
            <w:r>
              <w:rPr>
                <w:rFonts w:hint="eastAsia" w:ascii="宋体" w:hAnsi="宋体" w:cs="宋体"/>
                <w:sz w:val="24"/>
                <w:szCs w:val="24"/>
                <w:highlight w:val="none"/>
                <w:lang w:val="en-US" w:eastAsia="zh-CN"/>
              </w:rPr>
              <w:t>6</w:t>
            </w:r>
            <w:r>
              <w:rPr>
                <w:rFonts w:hint="eastAsia" w:ascii="宋体" w:hAnsi="宋体" w:cs="宋体"/>
                <w:sz w:val="24"/>
                <w:szCs w:val="24"/>
                <w:highlight w:val="none"/>
              </w:rPr>
              <w:t>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日</w:t>
            </w:r>
            <w:r>
              <w:rPr>
                <w:rFonts w:hint="eastAsia" w:ascii="宋体" w:hAnsi="宋体" w:eastAsia="宋体" w:cs="宋体"/>
                <w:sz w:val="24"/>
                <w:szCs w:val="24"/>
                <w:highlight w:val="yellow"/>
                <w:lang w:val="en-US" w:eastAsia="zh-CN"/>
              </w:rPr>
              <w:t>9:3</w:t>
            </w:r>
            <w:r>
              <w:rPr>
                <w:rFonts w:hint="eastAsia" w:ascii="宋体" w:hAnsi="宋体" w:eastAsia="宋体" w:cs="宋体"/>
                <w:sz w:val="24"/>
                <w:szCs w:val="24"/>
                <w:highlight w:val="yellow"/>
              </w:rPr>
              <w:t>0</w:t>
            </w:r>
            <w:r>
              <w:rPr>
                <w:rFonts w:hint="eastAsia" w:ascii="宋体" w:hAnsi="宋体" w:eastAsia="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章丘</w:t>
            </w:r>
            <w:r>
              <w:rPr>
                <w:rFonts w:hint="eastAsia" w:ascii="宋体" w:hAnsi="宋体" w:eastAsia="宋体" w:cs="Times New Roman"/>
                <w:color w:val="000000"/>
                <w:sz w:val="24"/>
                <w:szCs w:val="24"/>
                <w:highlight w:val="yellow"/>
              </w:rPr>
              <w:t>区</w:t>
            </w:r>
            <w:r>
              <w:rPr>
                <w:rFonts w:hint="eastAsia" w:ascii="宋体" w:hAnsi="宋体" w:eastAsia="宋体" w:cs="宋体"/>
                <w:sz w:val="24"/>
                <w:szCs w:val="24"/>
                <w:highlight w:val="yellow"/>
                <w:lang w:val="en-US" w:eastAsia="zh-CN"/>
              </w:rPr>
              <w:t>潘王路东园区是一号路北，济南轻卡制造公司</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评标方法：资质标审核</w:t>
            </w:r>
            <w:bookmarkStart w:id="4" w:name="OLE_LINK2"/>
            <w:r>
              <w:rPr>
                <w:rFonts w:hint="eastAsia" w:ascii="宋体" w:hAnsi="宋体" w:eastAsia="宋体" w:cs="宋体"/>
                <w:b/>
                <w:bCs/>
                <w:sz w:val="24"/>
                <w:szCs w:val="24"/>
              </w:rPr>
              <w:t>→</w:t>
            </w:r>
            <w:bookmarkEnd w:id="4"/>
            <w:r>
              <w:rPr>
                <w:rFonts w:hint="eastAsia" w:ascii="宋体" w:hAnsi="宋体" w:eastAsia="宋体" w:cs="宋体"/>
                <w:b/>
                <w:bCs/>
                <w:sz w:val="24"/>
                <w:szCs w:val="24"/>
              </w:rPr>
              <w:t>唱标→技术标评审→商务标评审。技术标入围后，原则上选取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8"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shd w:val="clear"/>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lang w:val="en-US" w:eastAsia="zh-CN"/>
              </w:rPr>
              <w:t>自接到中标通知书之日起，45</w:t>
            </w:r>
            <w:r>
              <w:rPr>
                <w:rFonts w:hint="eastAsia" w:hAnsi="宋体" w:eastAsia="宋体" w:cs="宋体"/>
                <w:color w:val="FF0000"/>
                <w:sz w:val="24"/>
                <w:szCs w:val="24"/>
                <w:highlight w:val="yellow"/>
              </w:rPr>
              <w:t>个日历日之内交货至供货地点</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投标人应当随标书提供详细的工期计划。</w:t>
            </w:r>
          </w:p>
          <w:p>
            <w:pPr>
              <w:pStyle w:val="17"/>
              <w:shd w:val="clear"/>
              <w:ind w:firstLine="480" w:firstLineChars="200"/>
              <w:rPr>
                <w:rFonts w:hint="eastAsia" w:hAnsi="宋体" w:eastAsia="宋体" w:cs="宋体"/>
                <w:color w:val="FF0000"/>
                <w:sz w:val="24"/>
                <w:szCs w:val="24"/>
              </w:rPr>
            </w:pPr>
            <w:r>
              <w:rPr>
                <w:rFonts w:hint="eastAsia" w:hAnsi="宋体" w:eastAsia="宋体" w:cs="宋体"/>
                <w:color w:val="FF0000"/>
                <w:sz w:val="24"/>
                <w:szCs w:val="24"/>
              </w:rPr>
              <w:t>如果因投标方原因不能在规定周期内交付,投标方</w:t>
            </w:r>
            <w:r>
              <w:rPr>
                <w:rFonts w:hint="eastAsia" w:hAnsi="宋体" w:eastAsia="宋体" w:cs="宋体"/>
                <w:color w:val="FF0000"/>
                <w:sz w:val="24"/>
                <w:szCs w:val="24"/>
                <w:lang w:val="en-US" w:eastAsia="zh-CN"/>
              </w:rPr>
              <w:t>需</w:t>
            </w:r>
            <w:r>
              <w:rPr>
                <w:rFonts w:hint="eastAsia" w:hAnsi="宋体" w:eastAsia="宋体" w:cs="宋体"/>
                <w:color w:val="FF0000"/>
                <w:sz w:val="24"/>
                <w:szCs w:val="24"/>
              </w:rPr>
              <w:t>承担相应的商务责任。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FF0000"/>
                <w:sz w:val="24"/>
                <w:szCs w:val="24"/>
                <w:lang w:val="en-US" w:eastAsia="zh-CN"/>
              </w:rPr>
              <w:t>济南市章丘区潘王路东园区十一号路北，济南轻卡制造公司</w:t>
            </w:r>
            <w:r>
              <w:rPr>
                <w:rFonts w:hint="eastAsia" w:hAnsi="宋体" w:eastAsia="宋体" w:cs="宋体"/>
                <w:color w:val="000000" w:themeColor="text1"/>
                <w:sz w:val="24"/>
                <w:szCs w:val="24"/>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11"/>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A.设备</w:t>
            </w:r>
            <w:r>
              <w:rPr>
                <w:rFonts w:hint="eastAsia" w:ascii="宋体" w:hAnsi="宋体" w:eastAsia="宋体" w:cs="宋体"/>
                <w:sz w:val="24"/>
                <w:szCs w:val="24"/>
                <w:highlight w:val="yellow"/>
                <w:lang w:val="en-US" w:eastAsia="zh-CN"/>
              </w:rPr>
              <w:t>全部到货无质量问题，预</w:t>
            </w:r>
            <w:r>
              <w:rPr>
                <w:rFonts w:hint="eastAsia" w:ascii="宋体" w:hAnsi="宋体" w:eastAsia="宋体" w:cs="宋体"/>
                <w:sz w:val="24"/>
                <w:szCs w:val="24"/>
                <w:highlight w:val="yellow"/>
              </w:rPr>
              <w:t>验收合格后，中标人提交金额为合同价款30%的收据并提供合同价款</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0%的增值税专用发票（含复印件二份），经招标人依照财务制度审核无误后支付；</w:t>
            </w:r>
          </w:p>
          <w:p>
            <w:pPr>
              <w:pStyle w:val="11"/>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B</w:t>
            </w:r>
            <w:r>
              <w:rPr>
                <w:rFonts w:hint="eastAsia" w:ascii="宋体" w:hAnsi="宋体" w:eastAsia="宋体" w:cs="宋体"/>
                <w:sz w:val="24"/>
                <w:szCs w:val="24"/>
                <w:highlight w:val="yellow"/>
              </w:rPr>
              <w:t>.设备</w:t>
            </w:r>
            <w:r>
              <w:rPr>
                <w:rFonts w:hint="eastAsia" w:ascii="宋体" w:hAnsi="宋体" w:eastAsia="宋体" w:cs="宋体"/>
                <w:sz w:val="24"/>
                <w:szCs w:val="24"/>
                <w:highlight w:val="yellow"/>
                <w:lang w:val="en-US" w:eastAsia="zh-CN"/>
              </w:rPr>
              <w:t>终</w:t>
            </w:r>
            <w:r>
              <w:rPr>
                <w:rFonts w:hint="eastAsia" w:ascii="宋体" w:hAnsi="宋体" w:eastAsia="宋体" w:cs="宋体"/>
                <w:sz w:val="24"/>
                <w:szCs w:val="24"/>
                <w:highlight w:val="yellow"/>
              </w:rPr>
              <w:t>验收合格后，中标人提交金额为合同价款</w:t>
            </w:r>
            <w:r>
              <w:rPr>
                <w:rFonts w:hint="eastAsia" w:ascii="宋体" w:hAnsi="宋体" w:eastAsia="宋体" w:cs="宋体"/>
                <w:sz w:val="24"/>
                <w:szCs w:val="24"/>
                <w:highlight w:val="yellow"/>
                <w:lang w:val="en-US" w:eastAsia="zh-CN"/>
              </w:rPr>
              <w:t>6</w:t>
            </w:r>
            <w:r>
              <w:rPr>
                <w:rFonts w:hint="eastAsia" w:ascii="宋体" w:hAnsi="宋体" w:eastAsia="宋体" w:cs="宋体"/>
                <w:sz w:val="24"/>
                <w:szCs w:val="24"/>
                <w:highlight w:val="yellow"/>
              </w:rPr>
              <w:t>0%的收据并提供合同价款</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0%的增值税专用发票（含复印件二份），经招标人依照财务制度审核无误后支付；</w:t>
            </w:r>
          </w:p>
          <w:p>
            <w:pPr>
              <w:pStyle w:val="11"/>
              <w:ind w:firstLine="480" w:firstLineChars="200"/>
              <w:rPr>
                <w:rFonts w:ascii="宋体" w:hAnsi="宋体" w:eastAsia="宋体" w:cs="宋体"/>
                <w:sz w:val="24"/>
                <w:szCs w:val="24"/>
              </w:rPr>
            </w:pPr>
            <w:r>
              <w:rPr>
                <w:rFonts w:hint="eastAsia" w:ascii="宋体" w:hAnsi="宋体" w:eastAsia="宋体" w:cs="宋体"/>
                <w:sz w:val="24"/>
                <w:szCs w:val="24"/>
                <w:highlight w:val="yellow"/>
                <w:lang w:val="en-US" w:eastAsia="zh-CN"/>
              </w:rPr>
              <w:t>C.</w:t>
            </w:r>
            <w:r>
              <w:rPr>
                <w:rFonts w:hint="eastAsia" w:ascii="宋体" w:hAnsi="宋体" w:eastAsia="宋体" w:cs="宋体"/>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无误后30日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56"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shd w:val="clea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shd w:val="clear"/>
              <w:ind w:left="479" w:leftChars="228" w:firstLine="0" w:firstLineChars="0"/>
              <w:rPr>
                <w:rFonts w:ascii="宋体" w:hAnsi="宋体" w:cs="宋体"/>
                <w:bCs/>
                <w:sz w:val="24"/>
                <w:szCs w:val="24"/>
              </w:rPr>
            </w:pPr>
            <w:r>
              <w:rPr>
                <w:rFonts w:hint="eastAsia" w:ascii="宋体" w:hAnsi="宋体" w:eastAsia="宋体" w:cs="宋体"/>
                <w:kern w:val="2"/>
                <w:sz w:val="24"/>
                <w:szCs w:val="24"/>
                <w:lang w:val="en-US" w:eastAsia="zh-CN" w:bidi="ar-SA"/>
              </w:rPr>
              <w:t>名称：重汽（济南）轻卡有限公司</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地址：山东省济南市章丘区圣井街道潘王路西</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纳税人识别号：91370181MA3TFTFB5W</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开户行：中国银行股份有限公司济南分行</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账号：235142245067</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电话：0531-58068611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24"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shd w:val="clear"/>
              <w:ind w:firstLine="480" w:firstLineChars="200"/>
              <w:rPr>
                <w:rFonts w:hint="eastAsia" w:ascii="宋体" w:hAnsi="宋体" w:eastAsia="宋体" w:cs="宋体"/>
                <w:sz w:val="24"/>
                <w:szCs w:val="24"/>
                <w:highlight w:val="red"/>
              </w:rPr>
            </w:pPr>
            <w:r>
              <w:rPr>
                <w:rFonts w:hint="eastAsia" w:ascii="宋体" w:hAnsi="宋体" w:eastAsia="宋体" w:cs="宋体"/>
                <w:sz w:val="24"/>
                <w:szCs w:val="24"/>
                <w:highlight w:val="red"/>
                <w:lang w:val="en-US" w:eastAsia="zh-CN"/>
              </w:rPr>
              <w:t>投标内容的分解报价、设计图纸等招标人所需要的各类资料，招标人为推进项目招标定标流程时需要上述资料的，中标人应及时无偿提供。</w:t>
            </w:r>
          </w:p>
          <w:p>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highlight w:val="none"/>
              </w:rPr>
              <w:t>中标人应在合同签订后</w:t>
            </w:r>
            <w:r>
              <w:rPr>
                <w:rFonts w:hint="eastAsia" w:ascii="宋体" w:hAnsi="宋体" w:eastAsia="宋体" w:cs="宋体"/>
                <w:color w:val="FF0000"/>
                <w:sz w:val="24"/>
                <w:szCs w:val="24"/>
                <w:highlight w:val="none"/>
              </w:rPr>
              <w:t>5</w:t>
            </w:r>
            <w:r>
              <w:rPr>
                <w:rFonts w:hint="eastAsia" w:ascii="宋体" w:hAnsi="宋体" w:eastAsia="宋体" w:cs="宋体"/>
                <w:sz w:val="24"/>
                <w:szCs w:val="24"/>
                <w:highlight w:val="none"/>
              </w:rPr>
              <w:t>日内编制完成项目计划和项目组织机构并盖章发给招标方。</w:t>
            </w:r>
          </w:p>
        </w:tc>
      </w:tr>
      <w:bookmarkEnd w:id="3"/>
    </w:tbl>
    <w:p>
      <w:pPr>
        <w:pStyle w:val="17"/>
        <w:numPr>
          <w:ilvl w:val="0"/>
          <w:numId w:val="0"/>
        </w:numPr>
        <w:jc w:val="both"/>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3"/>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5"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5"/>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highlight w:val="none"/>
        </w:rPr>
        <w:t>见《投标须知前附表》。</w:t>
      </w:r>
    </w:p>
    <w:bookmarkEnd w:id="6"/>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w:t>
      </w:r>
      <w:r>
        <w:rPr>
          <w:rFonts w:hint="eastAsia" w:ascii="宋体" w:hAnsi="宋体" w:eastAsia="宋体" w:cs="宋体"/>
          <w:b w:val="0"/>
          <w:bCs w:val="0"/>
          <w:color w:val="000000"/>
          <w:sz w:val="24"/>
          <w:szCs w:val="24"/>
          <w:highlight w:val="none"/>
          <w:lang w:eastAsia="zh-CN"/>
        </w:rPr>
        <w:t>1.1-1.1</w:t>
      </w:r>
      <w:r>
        <w:rPr>
          <w:rFonts w:hint="eastAsia" w:ascii="宋体" w:hAnsi="宋体" w:eastAsia="宋体" w:cs="宋体"/>
          <w:b w:val="0"/>
          <w:bCs w:val="0"/>
          <w:color w:val="000000"/>
          <w:sz w:val="24"/>
          <w:szCs w:val="24"/>
          <w:highlight w:val="none"/>
          <w:lang w:val="en-US" w:eastAsia="zh-CN"/>
        </w:rPr>
        <w:t>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人自行勘察现场，进行合理报价。投标总报价应包括表面处理费用、运杂费（包括现场卸车费）、设计、制造、安装、调试（含现场调试）、调试板料费，样件生产及包装运输费、验收、技术及售后服务费、技术资料费、备品备件费、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r>
        <w:rPr>
          <w:rFonts w:hint="eastAsia" w:hAnsi="宋体" w:eastAsia="宋体" w:cs="宋体"/>
          <w:color w:val="000000"/>
          <w:sz w:val="24"/>
          <w:szCs w:val="24"/>
          <w:lang w:val="en-US" w:eastAsia="zh-CN"/>
        </w:rPr>
        <w:t>要求执行，标准中未规定的按设备生产商或生产国国家标准制造。</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yellow"/>
        </w:rPr>
        <w:t>转账附言：公司名称+项目名称+投标保证金</w:t>
      </w:r>
      <w:r>
        <w:rPr>
          <w:rFonts w:hint="eastAsia" w:ascii="宋体" w:hAnsi="宋体" w:eastAsia="宋体" w:cs="宋体"/>
          <w:sz w:val="24"/>
          <w:szCs w:val="24"/>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w:t>
      </w:r>
      <w:r>
        <w:rPr>
          <w:rFonts w:hint="eastAsia" w:ascii="宋体" w:hAnsi="宋体" w:eastAsia="宋体" w:cs="宋体"/>
          <w:color w:val="000000"/>
          <w:sz w:val="24"/>
          <w:szCs w:val="24"/>
        </w:rPr>
        <w:t>供应商在提交响应文件截止时间后撤回响应文件的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.3.2.4若为视频开标，招标过程中澄清函等资料原件未按要求提交的；</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eastAsia="宋体" w:cs="宋体"/>
          <w:highlight w:val="none"/>
          <w:lang w:val="en-US" w:eastAsia="zh-CN"/>
        </w:rPr>
        <w:t>5</w:t>
      </w:r>
      <w:r>
        <w:rPr>
          <w:rFonts w:hint="eastAsia" w:ascii="宋体" w:hAnsi="宋体" w:eastAsia="宋体" w:cs="宋体"/>
          <w:color w:val="000000"/>
          <w:sz w:val="24"/>
          <w:szCs w:val="24"/>
          <w:highlight w:val="none"/>
        </w:rPr>
        <w:t>除因不可抗力或谈判文件、询价通知书认可的情形以外，成交供应商不与采购人签订合同的</w:t>
      </w:r>
      <w:r>
        <w:rPr>
          <w:rFonts w:hint="eastAsia" w:ascii="宋体" w:hAnsi="宋体" w:eastAsia="宋体" w:cs="宋体"/>
          <w:sz w:val="24"/>
          <w:szCs w:val="24"/>
          <w:highlight w:val="none"/>
        </w:rPr>
        <w:t>；</w:t>
      </w:r>
    </w:p>
    <w:p>
      <w:pPr>
        <w:pStyle w:val="119"/>
        <w:spacing w:line="360" w:lineRule="auto"/>
        <w:ind w:firstLine="480"/>
        <w:rPr>
          <w:rFonts w:hint="eastAsia" w:ascii="宋体" w:hAnsi="宋体" w:eastAsia="宋体" w:cs="宋体"/>
          <w:sz w:val="24"/>
          <w:szCs w:val="24"/>
          <w:highlight w:val="none"/>
        </w:rPr>
      </w:pPr>
      <w:r>
        <w:rPr>
          <w:rFonts w:hint="eastAsia" w:eastAsia="宋体" w:cs="宋体"/>
          <w:highlight w:val="none"/>
        </w:rPr>
        <w:t>4.3.2.</w:t>
      </w:r>
      <w:r>
        <w:rPr>
          <w:rFonts w:hint="eastAsia" w:eastAsia="宋体" w:cs="宋体"/>
          <w:sz w:val="24"/>
          <w:szCs w:val="24"/>
          <w:highlight w:val="none"/>
          <w:lang w:val="en-US" w:eastAsia="zh-CN"/>
        </w:rPr>
        <w:t>6</w:t>
      </w:r>
      <w:r>
        <w:rPr>
          <w:rFonts w:hint="eastAsia" w:ascii="宋体" w:hAnsi="宋体" w:eastAsia="宋体" w:cs="宋体"/>
          <w:color w:val="000000"/>
          <w:sz w:val="24"/>
          <w:szCs w:val="24"/>
          <w:highlight w:val="none"/>
        </w:rPr>
        <w:t>供应商在响应文件中提供虚假材料的</w:t>
      </w:r>
      <w:r>
        <w:rPr>
          <w:rFonts w:hint="eastAsia" w:eastAsia="宋体" w:cs="宋体"/>
          <w:highlight w:val="none"/>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pPr>
        <w:pStyle w:val="119"/>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9"/>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9"/>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lang w:val="en-US"/>
        </w:rPr>
      </w:pPr>
      <w:r>
        <w:rPr>
          <w:rFonts w:hint="eastAsia" w:ascii="宋体" w:hAnsi="宋体" w:eastAsia="宋体" w:cs="宋体"/>
          <w:color w:val="000000"/>
          <w:sz w:val="24"/>
          <w:szCs w:val="24"/>
          <w:highlight w:val="yellow"/>
          <w:lang w:val="en-US"/>
        </w:rPr>
        <w:t>满足国务院、政府及招标人公司最新防疫政策要求，</w:t>
      </w: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rPr>
        <w:t>其他情况请选择视频</w:t>
      </w:r>
      <w:r>
        <w:rPr>
          <w:rFonts w:hint="eastAsia" w:ascii="宋体" w:hAnsi="宋体" w:eastAsia="宋体" w:cs="宋体"/>
          <w:color w:val="000000"/>
          <w:sz w:val="24"/>
          <w:szCs w:val="24"/>
          <w:highlight w:val="yellow"/>
        </w:rPr>
        <w:t>参与</w:t>
      </w:r>
      <w:r>
        <w:rPr>
          <w:rFonts w:hint="eastAsia" w:ascii="宋体" w:hAnsi="宋体" w:eastAsia="宋体" w:cs="宋体"/>
          <w:color w:val="000000"/>
          <w:sz w:val="24"/>
          <w:szCs w:val="24"/>
          <w:highlight w:val="yellow"/>
          <w:lang w:val="en-US" w:eastAsia="zh-CN"/>
        </w:rPr>
        <w:t>开标，</w:t>
      </w:r>
      <w:r>
        <w:rPr>
          <w:rFonts w:hint="eastAsia" w:ascii="宋体" w:hAnsi="宋体" w:eastAsia="宋体" w:cs="宋体"/>
          <w:color w:val="000000"/>
          <w:sz w:val="24"/>
          <w:szCs w:val="24"/>
          <w:highlight w:val="yellow"/>
        </w:rPr>
        <w:t>视频链接会在报名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7" w:name="_Toc33265653"/>
      <w:bookmarkStart w:id="8" w:name="_Toc33266914"/>
      <w:bookmarkStart w:id="9" w:name="_Toc33266950"/>
      <w:bookmarkStart w:id="10" w:name="_Toc33267001"/>
      <w:bookmarkStart w:id="11" w:name="_Toc33265752"/>
      <w:bookmarkStart w:id="12" w:name="_Toc33266627"/>
      <w:bookmarkStart w:id="13" w:name="_Toc33285487"/>
      <w:r>
        <w:rPr>
          <w:rFonts w:hint="eastAsia" w:ascii="宋体" w:hAnsi="宋体" w:eastAsia="宋体" w:cs="宋体"/>
          <w:b/>
          <w:bCs w:val="0"/>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bookmarkStart w:id="15" w:name="_Toc33266951"/>
      <w:bookmarkStart w:id="16" w:name="_Toc33265753"/>
      <w:bookmarkStart w:id="17" w:name="_Toc33266628"/>
      <w:bookmarkStart w:id="18" w:name="_Toc33266915"/>
      <w:bookmarkStart w:id="19" w:name="_Toc33285489"/>
      <w:bookmarkStart w:id="20" w:name="_Toc33265654"/>
      <w:bookmarkStart w:id="21" w:name="_Toc33267002"/>
      <w:bookmarkStart w:id="22" w:name="_Toc395116634"/>
      <w:r>
        <w:rPr>
          <w:rFonts w:hint="eastAsia" w:ascii="宋体" w:hAnsi="宋体" w:eastAsia="宋体" w:cs="宋体"/>
          <w:sz w:val="24"/>
          <w:szCs w:val="24"/>
        </w:rPr>
        <w:t>本次招标采用</w:t>
      </w:r>
      <w:r>
        <w:rPr>
          <w:rFonts w:hint="eastAsia" w:ascii="宋体" w:hAnsi="宋体" w:eastAsia="宋体" w:cs="宋体"/>
          <w:b/>
          <w:bCs/>
          <w:sz w:val="24"/>
          <w:szCs w:val="24"/>
        </w:rPr>
        <w:t>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本着公平、公正、公开的原则，选择合理最低价确定中标人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资质标评审：资质标审核通过的单位，可以进入公开唱标环节；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highlight w:val="red"/>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中标人确定：技术标入围后，原则上</w:t>
      </w:r>
      <w:r>
        <w:rPr>
          <w:rFonts w:hint="eastAsia" w:ascii="宋体" w:hAnsi="宋体" w:eastAsia="宋体" w:cs="宋体"/>
          <w:b/>
          <w:bCs/>
          <w:sz w:val="24"/>
          <w:szCs w:val="24"/>
        </w:rPr>
        <w:t>合理最低价</w:t>
      </w:r>
      <w:r>
        <w:rPr>
          <w:rFonts w:hint="eastAsia" w:ascii="宋体" w:hAnsi="宋体" w:eastAsia="宋体" w:cs="宋体"/>
          <w:b/>
          <w:sz w:val="24"/>
          <w:szCs w:val="24"/>
        </w:rPr>
        <w:t>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（2）投标人在报价有效期内撤回投标；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（4）投标人以任何方式诋毁其他投标人；</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（5）投标人串通投标；</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pStyle w:val="17"/>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）投标人报价均超过采购预算的；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7"/>
      <w:bookmarkStart w:id="24" w:name="OLE_LINK29"/>
      <w:bookmarkStart w:id="25" w:name="OLE_LINK26"/>
      <w:bookmarkStart w:id="26" w:name="OLE_LINK28"/>
      <w:bookmarkStart w:id="27" w:name="OLE_LINK25"/>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重汽（济南）轻卡有限公司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8"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8"/>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red"/>
        </w:rPr>
        <w:t>被授权人</w:t>
      </w:r>
      <w:r>
        <w:rPr>
          <w:rFonts w:hint="eastAsia" w:ascii="宋体" w:hAnsi="宋体" w:eastAsia="宋体" w:cs="宋体"/>
          <w:kern w:val="0"/>
          <w:sz w:val="24"/>
          <w:szCs w:val="24"/>
          <w:highlight w:val="red"/>
          <w:lang w:bidi="en-US"/>
        </w:rPr>
        <w:t>近</w:t>
      </w:r>
      <w:r>
        <w:rPr>
          <w:rFonts w:hint="eastAsia" w:ascii="宋体" w:hAnsi="宋体" w:eastAsia="宋体" w:cs="宋体"/>
          <w:kern w:val="0"/>
          <w:sz w:val="24"/>
          <w:szCs w:val="24"/>
          <w:highlight w:val="red"/>
          <w:lang w:val="en-US" w:eastAsia="zh-CN" w:bidi="en-US"/>
        </w:rPr>
        <w:t>6</w:t>
      </w:r>
      <w:r>
        <w:rPr>
          <w:rFonts w:hint="eastAsia" w:ascii="宋体" w:hAnsi="宋体" w:eastAsia="宋体" w:cs="宋体"/>
          <w:kern w:val="0"/>
          <w:sz w:val="24"/>
          <w:szCs w:val="24"/>
          <w:highlight w:val="red"/>
          <w:lang w:bidi="en-US"/>
        </w:rPr>
        <w:t>个月</w:t>
      </w:r>
      <w:r>
        <w:rPr>
          <w:rFonts w:hint="eastAsia" w:ascii="宋体" w:hAnsi="宋体" w:eastAsia="宋体" w:cs="宋体"/>
          <w:kern w:val="0"/>
          <w:sz w:val="24"/>
          <w:szCs w:val="24"/>
          <w:highlight w:val="red"/>
          <w:lang w:val="en-US" w:eastAsia="zh-CN" w:bidi="en-US"/>
        </w:rPr>
        <w:t>及以上</w:t>
      </w:r>
      <w:r>
        <w:rPr>
          <w:rFonts w:hint="eastAsia" w:ascii="宋体" w:hAnsi="宋体" w:eastAsia="宋体" w:cs="宋体"/>
          <w:kern w:val="0"/>
          <w:sz w:val="24"/>
          <w:szCs w:val="24"/>
          <w:highlight w:val="red"/>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lang w:eastAsia="zh-CN"/>
        </w:rPr>
        <w:t>年</w:t>
      </w:r>
      <w:r>
        <w:rPr>
          <w:rFonts w:hint="eastAsia" w:ascii="宋体" w:hAnsi="宋体" w:eastAsia="宋体" w:cs="宋体"/>
          <w:color w:val="000000"/>
          <w:sz w:val="24"/>
          <w:szCs w:val="24"/>
        </w:rPr>
        <w:t>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1.7企业对外担保说明（写投标人对外有无对外担保和质押业务，需加盖公章）；</w:t>
      </w:r>
    </w:p>
    <w:p>
      <w:pPr>
        <w:spacing w:line="360" w:lineRule="auto"/>
        <w:ind w:firstLine="480" w:firstLineChars="200"/>
        <w:rPr>
          <w:rFonts w:hint="eastAsia"/>
        </w:rPr>
      </w:pPr>
      <w:r>
        <w:rPr>
          <w:rFonts w:hint="eastAsia" w:ascii="宋体" w:hAnsi="宋体" w:eastAsia="宋体" w:cs="宋体"/>
          <w:color w:val="000000"/>
          <w:sz w:val="24"/>
          <w:szCs w:val="24"/>
          <w:highlight w:val="none"/>
          <w:lang w:val="en-US" w:eastAsia="zh-CN"/>
        </w:rPr>
        <w:t>1.8企业信用证明材料（征信报告）；</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代理商投标要携带生产商的授权书、原厂售后服务承诺书，根据实际情况提供即可，无格式限制；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企业最近半年的完税证明、年度纳税信用评价信息（可从电子税务局查询截图，</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2020年1月1日至今，企业近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年同类项目业绩证明；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1.18</w:t>
      </w:r>
      <w:r>
        <w:rPr>
          <w:rFonts w:hint="eastAsia" w:ascii="宋体" w:hAnsi="宋体" w:eastAsia="宋体" w:cs="宋体"/>
          <w:color w:val="000000"/>
          <w:sz w:val="24"/>
          <w:szCs w:val="24"/>
        </w:rPr>
        <w:t xml:space="preserve"> 招标文件要求的其它必要资格文件</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投标保证金缴纳凭证。</w:t>
      </w:r>
    </w:p>
    <w:p>
      <w:pPr>
        <w:spacing w:line="360" w:lineRule="auto"/>
        <w:ind w:firstLine="482" w:firstLineChars="200"/>
        <w:rPr>
          <w:rFonts w:hint="eastAsia" w:ascii="宋体" w:hAnsi="宋体" w:eastAsia="宋体" w:cs="宋体"/>
          <w:b/>
          <w:bCs/>
          <w:sz w:val="24"/>
          <w:szCs w:val="24"/>
          <w:highlight w:val="none"/>
        </w:rPr>
      </w:pPr>
      <w:bookmarkStart w:id="29"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9"/>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val="0"/>
          <w:color w:val="000000"/>
          <w:sz w:val="24"/>
          <w:szCs w:val="24"/>
        </w:rPr>
        <w:t>2.</w:t>
      </w:r>
      <w:r>
        <w:rPr>
          <w:rFonts w:hint="eastAsia" w:ascii="宋体" w:hAnsi="宋体" w:eastAsia="宋体" w:cs="宋体"/>
          <w:bCs w:val="0"/>
          <w:color w:val="000000"/>
          <w:sz w:val="24"/>
          <w:szCs w:val="24"/>
          <w:lang w:val="en-US" w:eastAsia="zh-CN"/>
        </w:rPr>
        <w:t>2</w:t>
      </w:r>
      <w:r>
        <w:rPr>
          <w:rFonts w:hint="eastAsia" w:ascii="宋体" w:hAnsi="宋体" w:eastAsia="宋体" w:cs="宋体"/>
          <w:color w:val="000000"/>
          <w:sz w:val="24"/>
          <w:szCs w:val="24"/>
        </w:rPr>
        <w:t>提供</w:t>
      </w:r>
      <w:r>
        <w:rPr>
          <w:rFonts w:hint="eastAsia" w:ascii="宋体" w:hAnsi="宋体" w:eastAsia="宋体" w:cs="宋体"/>
          <w:color w:val="000000"/>
          <w:sz w:val="24"/>
          <w:szCs w:val="24"/>
          <w:lang w:eastAsia="zh-CN"/>
        </w:rPr>
        <w:t>2020年1月1日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30"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eastAsia="zh-CN"/>
        </w:rPr>
        <w:t>，</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9"/>
      <w:bookmarkStart w:id="32" w:name="OLE_LINK18"/>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strike w:val="0"/>
          <w:color w:val="000000"/>
          <w:sz w:val="24"/>
          <w:szCs w:val="24"/>
          <w:highlight w:val="none"/>
        </w:rPr>
      </w:pPr>
      <w:r>
        <w:rPr>
          <w:rFonts w:hint="eastAsia" w:ascii="宋体" w:hAnsi="宋体" w:eastAsia="宋体" w:cs="宋体"/>
          <w:strike w:val="0"/>
          <w:color w:val="000000"/>
          <w:sz w:val="24"/>
          <w:szCs w:val="24"/>
          <w:highlight w:val="none"/>
        </w:rPr>
        <w:t>3.6按招标文件投标人须知和技术规格书中要求提供的有关文件。</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highlight w:val="yellow"/>
        </w:rPr>
        <w:t>原则上，投标方或中标方的自制产线、工装、钢结构等非标项，需提供图纸或简易图纸；分项报价中需明确：规格型号、材质、重量、数量、品牌、价格等信息，注明是否包含加工费等其他费用；投标方或中标方采购的产品或标准件类产品，需明确规范规格型号（如订货号）、品牌、数量、价格等信息；以上信息供价值工程部核价使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注：招标文件给定格式的按给定的格式填写，未给定格式的，由投标方自行编制，但需包含以上内容。</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3"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3"/>
    </w:p>
    <w:p>
      <w:pPr>
        <w:pStyle w:val="17"/>
      </w:pPr>
    </w:p>
    <w:p>
      <w:pPr>
        <w:keepNext/>
        <w:keepLines/>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重汽（济南）轻卡有限公司</w:t>
      </w:r>
    </w:p>
    <w:p>
      <w:pPr>
        <w:spacing w:line="276" w:lineRule="auto"/>
        <w:jc w:val="center"/>
        <w:rPr>
          <w:rFonts w:hint="eastAsia" w:ascii="Calibri" w:hAnsi="宋体" w:eastAsia="宋体" w:cs="Times New Roman"/>
          <w:b/>
          <w:bCs/>
          <w:color w:val="000000"/>
          <w:spacing w:val="-8"/>
          <w:sz w:val="48"/>
          <w:szCs w:val="44"/>
          <w:highlight w:val="yellow"/>
          <w:lang w:eastAsia="zh-CN"/>
        </w:rPr>
      </w:pPr>
      <w:r>
        <w:rPr>
          <w:rFonts w:hint="eastAsia" w:ascii="Calibri" w:hAnsi="宋体" w:eastAsia="宋体" w:cs="Times New Roman"/>
          <w:b/>
          <w:bCs/>
          <w:color w:val="000000"/>
          <w:spacing w:val="-8"/>
          <w:sz w:val="48"/>
          <w:szCs w:val="44"/>
          <w:highlight w:val="none"/>
          <w:lang w:val="en-US" w:eastAsia="zh-CN"/>
        </w:rPr>
        <w:t>灯检线设备</w:t>
      </w:r>
      <w:r>
        <w:rPr>
          <w:rFonts w:hint="eastAsia" w:ascii="Calibri" w:hAnsi="宋体" w:eastAsia="宋体" w:cs="Times New Roman"/>
          <w:b/>
          <w:bCs/>
          <w:color w:val="000000"/>
          <w:spacing w:val="-8"/>
          <w:sz w:val="48"/>
          <w:szCs w:val="44"/>
          <w:highlight w:val="none"/>
          <w:lang w:eastAsia="zh-CN"/>
        </w:rPr>
        <w:t>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pStyle w:val="17"/>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eastAsia="zh-CN"/>
        </w:rPr>
        <w:t>重汽（济南）轻卡有限公司</w:t>
      </w:r>
    </w:p>
    <w:p>
      <w:pPr>
        <w:jc w:val="center"/>
        <w:rPr>
          <w:rFonts w:ascii="Calibri" w:hAnsi="Calibri" w:eastAsia="宋体" w:cs="Times New Roman"/>
          <w:color w:val="000000"/>
          <w:sz w:val="28"/>
          <w:szCs w:val="28"/>
          <w:highlight w:val="none"/>
        </w:rPr>
      </w:pPr>
    </w:p>
    <w:p>
      <w:pPr>
        <w:jc w:val="center"/>
        <w:rPr>
          <w:rFonts w:ascii="Calibri" w:hAnsi="Calibri" w:eastAsia="宋体" w:cs="Times New Roman"/>
          <w:b/>
          <w:bCs/>
          <w:kern w:val="44"/>
          <w:sz w:val="36"/>
          <w:szCs w:val="44"/>
          <w:highlight w:val="red"/>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4</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1</w:t>
      </w:r>
      <w:r>
        <w:rPr>
          <w:rFonts w:hint="eastAsia" w:ascii="Calibri" w:hAnsi="Calibri" w:eastAsia="宋体" w:cs="Times New Roman"/>
          <w:color w:val="000000"/>
          <w:sz w:val="28"/>
          <w:szCs w:val="28"/>
          <w:highlight w:val="none"/>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2"/>
        <w:tabs>
          <w:tab w:val="right" w:leader="dot" w:pos="9061"/>
        </w:tabs>
        <w:spacing w:line="360" w:lineRule="auto"/>
        <w:ind w:left="0"/>
        <w:jc w:val="both"/>
        <w:rPr>
          <w:color w:val="auto"/>
          <w:highlight w:val="none"/>
        </w:rPr>
      </w:pPr>
      <w:bookmarkStart w:id="34" w:name="_Toc26357117"/>
      <w:bookmarkStart w:id="35" w:name="_Toc27758106"/>
      <w:bookmarkStart w:id="36" w:name="_Toc18103"/>
      <w:bookmarkStart w:id="37" w:name="_Toc26347"/>
      <w:r>
        <w:rPr>
          <w:rFonts w:hint="eastAsia"/>
          <w:color w:val="auto"/>
          <w:highlight w:val="none"/>
        </w:rPr>
        <w:t>一、</w:t>
      </w:r>
      <w:bookmarkEnd w:id="34"/>
      <w:bookmarkEnd w:id="35"/>
      <w:r>
        <w:rPr>
          <w:rFonts w:hint="eastAsia"/>
          <w:color w:val="auto"/>
          <w:highlight w:val="none"/>
        </w:rPr>
        <w:t>标的物用途</w:t>
      </w:r>
      <w:bookmarkEnd w:id="36"/>
    </w:p>
    <w:p>
      <w:pPr>
        <w:spacing w:line="360" w:lineRule="auto"/>
        <w:ind w:firstLine="480" w:firstLineChars="200"/>
        <w:jc w:val="left"/>
        <w:rPr>
          <w:rFonts w:ascii="宋体" w:hAnsi="宋体"/>
          <w:bCs/>
          <w:sz w:val="24"/>
          <w:szCs w:val="24"/>
          <w:highlight w:val="none"/>
        </w:rPr>
      </w:pPr>
      <w:bookmarkStart w:id="38" w:name="_Toc14387"/>
      <w:r>
        <w:rPr>
          <w:rFonts w:hint="eastAsia" w:asciiTheme="minorEastAsia" w:hAnsiTheme="minorEastAsia"/>
          <w:sz w:val="24"/>
          <w:szCs w:val="24"/>
          <w:highlight w:val="none"/>
        </w:rPr>
        <w:t>用于重汽(济南)轻卡有限公司所有皮卡</w:t>
      </w:r>
      <w:r>
        <w:rPr>
          <w:rFonts w:hint="eastAsia" w:ascii="宋体" w:hAnsi="宋体"/>
          <w:bCs/>
          <w:sz w:val="24"/>
          <w:szCs w:val="24"/>
        </w:rPr>
        <w:t>的</w:t>
      </w:r>
      <w:r>
        <w:rPr>
          <w:rFonts w:hint="eastAsia" w:ascii="宋体" w:hAnsi="宋体"/>
          <w:bCs/>
          <w:sz w:val="24"/>
          <w:szCs w:val="24"/>
          <w:lang w:eastAsia="zh-CN"/>
        </w:rPr>
        <w:t>整车检验</w:t>
      </w:r>
      <w:r>
        <w:rPr>
          <w:rFonts w:hint="eastAsia" w:asciiTheme="minorEastAsia" w:hAnsiTheme="minorEastAsia"/>
          <w:sz w:val="24"/>
          <w:szCs w:val="24"/>
          <w:highlight w:val="none"/>
        </w:rPr>
        <w:t>；</w:t>
      </w:r>
    </w:p>
    <w:p>
      <w:pPr>
        <w:pStyle w:val="2"/>
        <w:keepNext/>
        <w:keepLines/>
        <w:spacing w:line="360" w:lineRule="auto"/>
        <w:ind w:left="0"/>
        <w:jc w:val="both"/>
        <w:rPr>
          <w:color w:val="auto"/>
          <w:highlight w:val="none"/>
        </w:rPr>
      </w:pPr>
      <w:r>
        <w:rPr>
          <w:rFonts w:hint="eastAsia" w:ascii="宋体" w:hAnsi="宋体"/>
          <w:color w:val="auto"/>
          <w:highlight w:val="none"/>
        </w:rPr>
        <w:t>二、</w:t>
      </w:r>
      <w:bookmarkStart w:id="39" w:name="_Toc26357118"/>
      <w:bookmarkStart w:id="40" w:name="_Toc27758107"/>
      <w:r>
        <w:rPr>
          <w:rFonts w:hint="eastAsia"/>
          <w:color w:val="auto"/>
          <w:highlight w:val="none"/>
        </w:rPr>
        <w:t>标的物使用环境</w:t>
      </w:r>
      <w:bookmarkEnd w:id="38"/>
      <w:bookmarkEnd w:id="39"/>
      <w:bookmarkEnd w:id="40"/>
    </w:p>
    <w:p>
      <w:pPr>
        <w:spacing w:line="360" w:lineRule="auto"/>
        <w:ind w:firstLine="480" w:firstLineChars="200"/>
        <w:jc w:val="both"/>
        <w:rPr>
          <w:rFonts w:hint="eastAsia" w:ascii="宋体" w:hAnsi="宋体"/>
          <w:bCs/>
          <w:color w:val="auto"/>
          <w:sz w:val="24"/>
          <w:szCs w:val="24"/>
          <w:highlight w:val="none"/>
        </w:rPr>
      </w:pPr>
      <w:bookmarkStart w:id="41" w:name="_Toc23912"/>
      <w:bookmarkStart w:id="42" w:name="_Toc26357119"/>
      <w:bookmarkStart w:id="43" w:name="_Toc27758108"/>
      <w:r>
        <w:rPr>
          <w:rFonts w:hint="eastAsia" w:ascii="宋体" w:hAnsi="宋体"/>
          <w:bCs/>
          <w:color w:val="auto"/>
          <w:sz w:val="24"/>
          <w:szCs w:val="24"/>
          <w:highlight w:val="none"/>
        </w:rPr>
        <w:t>1.项目名称：</w:t>
      </w:r>
      <w:r>
        <w:rPr>
          <w:rFonts w:hint="eastAsia" w:cs="Times New Roman" w:asciiTheme="minorEastAsia" w:hAnsiTheme="minorEastAsia"/>
          <w:sz w:val="24"/>
          <w:szCs w:val="24"/>
          <w:highlight w:val="none"/>
          <w:lang w:val="en-US" w:eastAsia="zh-CN"/>
        </w:rPr>
        <w:t>质量检测（灯检线）项目</w:t>
      </w:r>
    </w:p>
    <w:p>
      <w:pPr>
        <w:spacing w:line="360" w:lineRule="auto"/>
        <w:ind w:firstLine="480" w:firstLineChars="200"/>
        <w:jc w:val="both"/>
        <w:rPr>
          <w:rFonts w:hint="eastAsia" w:ascii="Times New Roman" w:hAnsi="Times New Roman" w:eastAsia="宋体"/>
          <w:bCs w:val="0"/>
          <w:color w:val="auto"/>
          <w:sz w:val="24"/>
          <w:szCs w:val="24"/>
          <w:highlight w:val="none"/>
          <w:lang w:val="en-US" w:eastAsia="zh-CN"/>
        </w:rPr>
      </w:pPr>
      <w:r>
        <w:rPr>
          <w:rFonts w:hint="eastAsia" w:ascii="宋体" w:hAnsi="宋体"/>
          <w:bCs/>
          <w:color w:val="auto"/>
          <w:sz w:val="24"/>
          <w:szCs w:val="24"/>
          <w:highlight w:val="none"/>
        </w:rPr>
        <w:t>2.</w:t>
      </w:r>
      <w:r>
        <w:rPr>
          <w:rFonts w:hint="eastAsia"/>
          <w:color w:val="auto"/>
          <w:sz w:val="24"/>
          <w:szCs w:val="24"/>
          <w:highlight w:val="none"/>
        </w:rPr>
        <w:t>产能规划：</w:t>
      </w:r>
      <w:r>
        <w:rPr>
          <w:rFonts w:hint="eastAsia" w:ascii="宋体" w:hAnsi="宋体"/>
          <w:bCs/>
          <w:color w:val="auto"/>
          <w:sz w:val="24"/>
          <w:szCs w:val="24"/>
          <w:highlight w:val="none"/>
        </w:rPr>
        <w:t>皮卡5万辆/年</w:t>
      </w:r>
      <w:r>
        <w:rPr>
          <w:rFonts w:hint="eastAsia" w:ascii="Times New Roman" w:hAnsi="Times New Roman"/>
          <w:b w:val="0"/>
          <w:bCs w:val="0"/>
          <w:color w:val="0D0D0D" w:themeColor="text1" w:themeTint="F2"/>
          <w:sz w:val="24"/>
          <w:szCs w:val="24"/>
          <w:highlight w:val="none"/>
          <w:lang w:eastAsia="zh-CN"/>
          <w14:textFill>
            <w14:solidFill>
              <w14:schemeClr w14:val="tx1">
                <w14:lumMod w14:val="95000"/>
                <w14:lumOff w14:val="5000"/>
              </w14:schemeClr>
            </w14:solidFill>
          </w14:textFill>
        </w:rPr>
        <w:t>，</w:t>
      </w:r>
      <w:r>
        <w:rPr>
          <w:rFonts w:hint="eastAsia" w:ascii="Times New Roman" w:hAnsi="Times New Roman"/>
          <w:b w:val="0"/>
          <w:bCs w:val="0"/>
          <w:color w:val="0D0D0D" w:themeColor="text1" w:themeTint="F2"/>
          <w:sz w:val="24"/>
          <w:szCs w:val="24"/>
          <w:highlight w:val="none"/>
          <w:lang w:val="en-US" w:eastAsia="zh-CN"/>
          <w14:textFill>
            <w14:solidFill>
              <w14:schemeClr w14:val="tx1">
                <w14:lumMod w14:val="95000"/>
                <w14:lumOff w14:val="5000"/>
              </w14:schemeClr>
            </w14:solidFill>
          </w14:textFill>
        </w:rPr>
        <w:t>满足12JPH节拍生产要求。</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rPr>
        <w:t>3</w:t>
      </w:r>
      <w:r>
        <w:rPr>
          <w:rFonts w:ascii="宋体" w:hAnsi="宋体"/>
          <w:bCs/>
          <w:color w:val="auto"/>
          <w:sz w:val="24"/>
          <w:szCs w:val="24"/>
          <w:highlight w:val="none"/>
        </w:rPr>
        <w:t>.</w:t>
      </w:r>
      <w:r>
        <w:rPr>
          <w:rFonts w:hint="eastAsia" w:ascii="宋体" w:hAnsi="宋体"/>
          <w:bCs/>
          <w:color w:val="auto"/>
          <w:sz w:val="24"/>
          <w:szCs w:val="24"/>
          <w:highlight w:val="none"/>
        </w:rPr>
        <w:t>工作地点：山东济南</w:t>
      </w:r>
    </w:p>
    <w:p>
      <w:pPr>
        <w:spacing w:line="360" w:lineRule="auto"/>
        <w:ind w:firstLine="480" w:firstLineChars="200"/>
        <w:jc w:val="both"/>
        <w:rPr>
          <w:rFonts w:hint="eastAsia" w:ascii="宋体" w:hAnsi="宋体"/>
          <w:color w:val="auto"/>
          <w:sz w:val="24"/>
          <w:szCs w:val="24"/>
          <w:highlight w:val="none"/>
          <w:lang w:val="en-US" w:eastAsia="zh-CN"/>
        </w:rPr>
      </w:pPr>
      <w:r>
        <w:rPr>
          <w:rFonts w:hint="eastAsia" w:ascii="宋体" w:hAnsi="宋体"/>
          <w:bCs/>
          <w:color w:val="auto"/>
          <w:sz w:val="24"/>
          <w:szCs w:val="24"/>
          <w:highlight w:val="none"/>
        </w:rPr>
        <w:t>4</w:t>
      </w:r>
      <w:r>
        <w:rPr>
          <w:rFonts w:ascii="宋体" w:hAnsi="宋体"/>
          <w:bCs/>
          <w:color w:val="auto"/>
          <w:sz w:val="24"/>
          <w:szCs w:val="24"/>
          <w:highlight w:val="none"/>
        </w:rPr>
        <w:t>.</w:t>
      </w:r>
      <w:r>
        <w:rPr>
          <w:rFonts w:hint="eastAsia" w:ascii="宋体" w:hAnsi="宋体"/>
          <w:bCs/>
          <w:color w:val="auto"/>
          <w:sz w:val="24"/>
          <w:szCs w:val="24"/>
          <w:highlight w:val="none"/>
        </w:rPr>
        <w:t>工作制度：</w:t>
      </w:r>
      <w:r>
        <w:rPr>
          <w:rFonts w:hint="eastAsia" w:ascii="宋体" w:hAnsi="宋体"/>
          <w:bCs/>
          <w:color w:val="auto"/>
          <w:sz w:val="24"/>
          <w:szCs w:val="24"/>
          <w:highlight w:val="none"/>
          <w:lang w:eastAsia="zh-CN"/>
        </w:rPr>
        <w:t>每班</w:t>
      </w:r>
      <w:r>
        <w:rPr>
          <w:rFonts w:hint="eastAsia" w:ascii="宋体" w:hAnsi="宋体"/>
          <w:bCs/>
          <w:color w:val="auto"/>
          <w:sz w:val="24"/>
          <w:szCs w:val="24"/>
          <w:highlight w:val="none"/>
          <w:lang w:val="en-US" w:eastAsia="zh-CN"/>
        </w:rPr>
        <w:t>8小时，双班制，251天。极限工况：每班10小时，双班制，300天。</w:t>
      </w:r>
    </w:p>
    <w:p>
      <w:pPr>
        <w:spacing w:line="360" w:lineRule="auto"/>
        <w:ind w:firstLine="480"/>
        <w:jc w:val="both"/>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年时基数：设备年时基数6</w:t>
      </w:r>
      <w:r>
        <w:rPr>
          <w:rFonts w:hint="eastAsia" w:ascii="宋体" w:hAnsi="宋体"/>
          <w:color w:val="auto"/>
          <w:sz w:val="24"/>
          <w:szCs w:val="24"/>
          <w:highlight w:val="none"/>
          <w:lang w:val="en-US" w:eastAsia="zh-CN"/>
        </w:rPr>
        <w:t>0</w:t>
      </w:r>
      <w:r>
        <w:rPr>
          <w:rFonts w:hint="eastAsia" w:ascii="宋体" w:hAnsi="宋体"/>
          <w:color w:val="auto"/>
          <w:sz w:val="24"/>
          <w:szCs w:val="24"/>
          <w:highlight w:val="none"/>
        </w:rPr>
        <w:t>00小时</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w:t>
      </w:r>
      <w:r>
        <w:rPr>
          <w:rFonts w:hint="eastAsia" w:ascii="宋体" w:hAnsi="宋体"/>
          <w:bCs/>
          <w:color w:val="auto"/>
          <w:sz w:val="24"/>
          <w:szCs w:val="24"/>
          <w:highlight w:val="none"/>
        </w:rPr>
        <w:t>使用地点区域自然环境：</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.1.</w:t>
      </w:r>
      <w:r>
        <w:rPr>
          <w:rFonts w:hint="eastAsia" w:ascii="宋体" w:hAnsi="宋体"/>
          <w:bCs/>
          <w:color w:val="auto"/>
          <w:sz w:val="24"/>
          <w:szCs w:val="24"/>
          <w:highlight w:val="none"/>
        </w:rPr>
        <w:t>海拔高度：1000m以下</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.2.</w:t>
      </w:r>
      <w:r>
        <w:rPr>
          <w:rFonts w:hint="eastAsia" w:ascii="宋体" w:hAnsi="宋体"/>
          <w:bCs/>
          <w:color w:val="auto"/>
          <w:sz w:val="24"/>
          <w:szCs w:val="24"/>
          <w:highlight w:val="none"/>
        </w:rPr>
        <w:t>室外温度：-20℃～40℃</w:t>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.3.</w:t>
      </w:r>
      <w:r>
        <w:rPr>
          <w:rFonts w:hint="eastAsia" w:ascii="宋体" w:hAnsi="宋体"/>
          <w:bCs/>
          <w:color w:val="auto"/>
          <w:sz w:val="24"/>
          <w:szCs w:val="24"/>
          <w:highlight w:val="none"/>
        </w:rPr>
        <w:t>室内温度：-5℃～45℃</w:t>
      </w:r>
      <w:r>
        <w:rPr>
          <w:rFonts w:hint="eastAsia" w:ascii="宋体" w:hAnsi="宋体"/>
          <w:bCs/>
          <w:color w:val="auto"/>
          <w:sz w:val="24"/>
          <w:szCs w:val="24"/>
          <w:highlight w:val="none"/>
        </w:rPr>
        <w:tab/>
      </w:r>
    </w:p>
    <w:p>
      <w:pPr>
        <w:spacing w:line="360" w:lineRule="auto"/>
        <w:ind w:firstLine="480" w:firstLineChars="200"/>
        <w:jc w:val="both"/>
        <w:rPr>
          <w:rFonts w:ascii="宋体" w:hAnsi="宋体"/>
          <w:bCs/>
          <w:color w:val="auto"/>
          <w:sz w:val="24"/>
          <w:szCs w:val="24"/>
          <w:highlight w:val="none"/>
        </w:rPr>
      </w:pPr>
      <w:r>
        <w:rPr>
          <w:rFonts w:hint="eastAsia" w:ascii="宋体" w:hAnsi="宋体"/>
          <w:bCs/>
          <w:color w:val="auto"/>
          <w:sz w:val="24"/>
          <w:szCs w:val="24"/>
          <w:highlight w:val="none"/>
          <w:lang w:val="en-US" w:eastAsia="zh-CN"/>
        </w:rPr>
        <w:t>6</w:t>
      </w:r>
      <w:r>
        <w:rPr>
          <w:rFonts w:ascii="宋体" w:hAnsi="宋体"/>
          <w:bCs/>
          <w:color w:val="auto"/>
          <w:sz w:val="24"/>
          <w:szCs w:val="24"/>
          <w:highlight w:val="none"/>
        </w:rPr>
        <w:t>.4.</w:t>
      </w:r>
      <w:r>
        <w:rPr>
          <w:rFonts w:hint="eastAsia" w:ascii="宋体" w:hAnsi="宋体"/>
          <w:bCs/>
          <w:color w:val="auto"/>
          <w:sz w:val="24"/>
          <w:szCs w:val="24"/>
          <w:highlight w:val="none"/>
        </w:rPr>
        <w:t>环境湿度：在20℃时最大湿度为90%</w:t>
      </w:r>
    </w:p>
    <w:p>
      <w:pPr>
        <w:pStyle w:val="2"/>
        <w:keepNext/>
        <w:keepLines/>
        <w:spacing w:line="360" w:lineRule="auto"/>
        <w:ind w:left="0" w:firstLine="480" w:firstLineChars="200"/>
        <w:jc w:val="both"/>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cs="Times New Roman"/>
          <w:b w:val="0"/>
          <w:bCs/>
          <w:color w:val="auto"/>
          <w:kern w:val="2"/>
          <w:sz w:val="24"/>
          <w:szCs w:val="24"/>
          <w:highlight w:val="none"/>
          <w:lang w:val="en-US" w:eastAsia="zh-CN" w:bidi="ar-SA"/>
        </w:rPr>
        <w:t>7</w:t>
      </w:r>
      <w:r>
        <w:rPr>
          <w:rFonts w:hint="eastAsia" w:ascii="宋体" w:hAnsi="宋体" w:eastAsia="宋体" w:cs="Times New Roman"/>
          <w:b w:val="0"/>
          <w:bCs/>
          <w:color w:val="auto"/>
          <w:kern w:val="2"/>
          <w:sz w:val="24"/>
          <w:szCs w:val="24"/>
          <w:highlight w:val="none"/>
          <w:lang w:val="en-US" w:eastAsia="zh-CN" w:bidi="ar-SA"/>
        </w:rPr>
        <w:t>.电源电压：三相五线制，符合中国制式，供电电压：AC380V±10%，供电频率：50Hz±2%，单相电：AC220V±10%，供电频率：50Hz±2%。</w:t>
      </w:r>
    </w:p>
    <w:p>
      <w:pPr>
        <w:pStyle w:val="2"/>
        <w:keepNext/>
        <w:keepLines/>
        <w:spacing w:line="360" w:lineRule="auto"/>
        <w:ind w:left="0"/>
        <w:jc w:val="both"/>
        <w:rPr>
          <w:rFonts w:hint="eastAsia" w:ascii="宋体" w:hAnsi="宋体"/>
          <w:color w:val="auto"/>
          <w:highlight w:val="none"/>
        </w:rPr>
      </w:pPr>
      <w:r>
        <w:rPr>
          <w:rFonts w:hint="eastAsia" w:ascii="宋体" w:hAnsi="宋体"/>
          <w:color w:val="auto"/>
          <w:highlight w:val="none"/>
        </w:rPr>
        <w:t>三、供货范围</w:t>
      </w:r>
      <w:bookmarkEnd w:id="41"/>
      <w:bookmarkEnd w:id="42"/>
      <w:bookmarkEnd w:id="43"/>
    </w:p>
    <w:p>
      <w:pPr>
        <w:spacing w:line="360" w:lineRule="auto"/>
        <w:ind w:firstLine="480" w:firstLineChars="200"/>
        <w:jc w:val="left"/>
        <w:rPr>
          <w:rFonts w:ascii="宋体" w:hAnsi="宋体"/>
          <w:bCs/>
          <w:sz w:val="24"/>
          <w:szCs w:val="24"/>
        </w:rPr>
      </w:pPr>
      <w:bookmarkStart w:id="44" w:name="_Toc23035"/>
      <w:bookmarkStart w:id="45" w:name="_Toc27758110"/>
      <w:bookmarkStart w:id="46" w:name="_Toc26357121"/>
      <w:r>
        <w:rPr>
          <w:rFonts w:hint="eastAsia" w:ascii="宋体" w:hAnsi="宋体"/>
          <w:bCs/>
          <w:sz w:val="24"/>
          <w:szCs w:val="24"/>
        </w:rPr>
        <w:t>本项目包含新增</w:t>
      </w:r>
      <w:r>
        <w:rPr>
          <w:rFonts w:hint="eastAsia" w:ascii="宋体" w:hAnsi="宋体"/>
          <w:bCs/>
          <w:sz w:val="24"/>
          <w:szCs w:val="24"/>
          <w:lang w:eastAsia="zh-CN"/>
        </w:rPr>
        <w:t>灯检线</w:t>
      </w:r>
      <w:r>
        <w:rPr>
          <w:rFonts w:hint="eastAsia" w:ascii="宋体" w:hAnsi="宋体"/>
          <w:bCs/>
          <w:sz w:val="24"/>
          <w:szCs w:val="24"/>
        </w:rPr>
        <w:t>的设计、采购、制造、运输、装卸、安装调试及培训等，并交付使用，并提供相关的售后服务。</w:t>
      </w:r>
    </w:p>
    <w:p>
      <w:pPr>
        <w:numPr>
          <w:ilvl w:val="0"/>
          <w:numId w:val="11"/>
        </w:numPr>
        <w:spacing w:line="360" w:lineRule="auto"/>
        <w:ind w:firstLine="480" w:firstLineChars="200"/>
        <w:jc w:val="left"/>
        <w:rPr>
          <w:rFonts w:hint="eastAsia" w:ascii="宋体" w:hAnsi="宋体"/>
          <w:bCs/>
          <w:sz w:val="24"/>
          <w:szCs w:val="24"/>
        </w:rPr>
      </w:pPr>
      <w:r>
        <w:rPr>
          <w:rFonts w:hint="eastAsia" w:ascii="宋体" w:hAnsi="宋体"/>
          <w:bCs/>
          <w:sz w:val="24"/>
          <w:szCs w:val="24"/>
        </w:rPr>
        <w:t>本技术标准设备名称：</w:t>
      </w:r>
      <w:r>
        <w:rPr>
          <w:rFonts w:hint="eastAsia" w:ascii="宋体" w:hAnsi="宋体"/>
          <w:bCs/>
          <w:sz w:val="24"/>
          <w:szCs w:val="24"/>
          <w:lang w:eastAsia="zh-CN"/>
        </w:rPr>
        <w:t>灯检线</w:t>
      </w:r>
      <w:r>
        <w:rPr>
          <w:rFonts w:hint="eastAsia" w:ascii="宋体" w:hAnsi="宋体"/>
          <w:bCs/>
          <w:sz w:val="24"/>
          <w:szCs w:val="24"/>
        </w:rPr>
        <w:t>。</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2862"/>
        <w:gridCol w:w="2288"/>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序号</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子项名称</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数量/套</w:t>
            </w:r>
          </w:p>
        </w:tc>
        <w:tc>
          <w:tcPr>
            <w:tcW w:w="3187"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1</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报交线</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1条</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2</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驱动装置</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3</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rFonts w:hint="eastAsia"/>
                <w:lang w:val="en-US" w:eastAsia="zh-CN" w:bidi="ar"/>
              </w:rPr>
              <w:t>涨</w:t>
            </w:r>
            <w:r>
              <w:rPr>
                <w:rStyle w:val="154"/>
                <w:lang w:val="en-US" w:eastAsia="zh-CN" w:bidi="ar"/>
              </w:rPr>
              <w:t>紧装置</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4</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轨道系统</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5</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输送链条</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6</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盖板及围栏</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7</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板链</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Fonts w:hint="eastAsia" w:ascii="宋体" w:hAnsi="宋体" w:eastAsia="宋体" w:cs="宋体"/>
                <w:i w:val="0"/>
                <w:iCs w:val="0"/>
                <w:color w:val="000000"/>
                <w:kern w:val="0"/>
                <w:sz w:val="24"/>
                <w:szCs w:val="24"/>
                <w:u w:val="none"/>
                <w:lang w:val="en-US" w:eastAsia="zh-CN" w:bidi="ar"/>
              </w:rPr>
              <w:t>8</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灯廊</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覆盖10个工位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9</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rStyle w:val="154"/>
                <w:rFonts w:hint="default"/>
                <w:lang w:val="en-US" w:eastAsia="zh-CN" w:bidi="ar"/>
              </w:rPr>
            </w:pPr>
            <w:r>
              <w:rPr>
                <w:rStyle w:val="154"/>
                <w:rFonts w:hint="eastAsia"/>
                <w:lang w:val="en-US" w:eastAsia="zh-CN" w:bidi="ar"/>
              </w:rPr>
              <w:t>控制系统</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rStyle w:val="154"/>
                <w:lang w:val="en-US" w:eastAsia="zh-CN" w:bidi="ar"/>
              </w:rPr>
            </w:pPr>
            <w:r>
              <w:rPr>
                <w:rStyle w:val="154"/>
                <w:lang w:val="en-US" w:eastAsia="zh-CN" w:bidi="ar"/>
              </w:rPr>
              <w:t>1套</w:t>
            </w:r>
          </w:p>
        </w:tc>
        <w:tc>
          <w:tcPr>
            <w:tcW w:w="3187"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rStyle w:val="15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rFonts w:hint="default" w:eastAsia="宋体"/>
                <w:vertAlign w:val="baseline"/>
                <w:lang w:val="en-US" w:eastAsia="zh-CN"/>
              </w:rPr>
            </w:pPr>
            <w:r>
              <w:rPr>
                <w:rFonts w:hint="eastAsia"/>
                <w:vertAlign w:val="baseline"/>
                <w:lang w:val="en-US" w:eastAsia="zh-CN"/>
              </w:rPr>
              <w:t>10</w:t>
            </w:r>
          </w:p>
        </w:tc>
        <w:tc>
          <w:tcPr>
            <w:tcW w:w="2862"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灯检线室体</w:t>
            </w:r>
          </w:p>
        </w:tc>
        <w:tc>
          <w:tcPr>
            <w:tcW w:w="2288" w:type="dxa"/>
            <w:vAlign w:val="center"/>
          </w:tcPr>
          <w:p>
            <w:pPr>
              <w:keepNext w:val="0"/>
              <w:keepLines w:val="0"/>
              <w:pageBreakBefore w:val="0"/>
              <w:widowControl/>
              <w:suppressLineNumbers w:val="0"/>
              <w:kinsoku/>
              <w:wordWrap/>
              <w:overflowPunct/>
              <w:topLinePunct w:val="0"/>
              <w:autoSpaceDE/>
              <w:autoSpaceDN/>
              <w:bidi w:val="0"/>
              <w:adjustRightInd/>
              <w:snapToGrid/>
              <w:spacing w:after="200" w:line="240" w:lineRule="auto"/>
              <w:jc w:val="center"/>
              <w:textAlignment w:val="center"/>
              <w:rPr>
                <w:vertAlign w:val="baseline"/>
              </w:rPr>
            </w:pPr>
            <w:r>
              <w:rPr>
                <w:rStyle w:val="154"/>
                <w:lang w:val="en-US" w:eastAsia="zh-CN" w:bidi="ar"/>
              </w:rPr>
              <w:t>1套</w:t>
            </w:r>
          </w:p>
        </w:tc>
        <w:tc>
          <w:tcPr>
            <w:tcW w:w="3187" w:type="dxa"/>
            <w:vAlign w:val="center"/>
          </w:tcPr>
          <w:p>
            <w:pPr>
              <w:keepNext w:val="0"/>
              <w:keepLines w:val="0"/>
              <w:pageBreakBefore w:val="0"/>
              <w:kinsoku/>
              <w:wordWrap/>
              <w:overflowPunct/>
              <w:topLinePunct w:val="0"/>
              <w:autoSpaceDE/>
              <w:autoSpaceDN/>
              <w:bidi w:val="0"/>
              <w:adjustRightInd/>
              <w:snapToGrid/>
              <w:spacing w:after="200" w:line="240" w:lineRule="auto"/>
              <w:jc w:val="center"/>
              <w:rPr>
                <w:vertAlign w:val="baseline"/>
              </w:rPr>
            </w:pPr>
          </w:p>
        </w:tc>
      </w:tr>
    </w:tbl>
    <w:p>
      <w:pPr>
        <w:pStyle w:val="13"/>
        <w:widowControl w:val="0"/>
        <w:numPr>
          <w:ilvl w:val="0"/>
          <w:numId w:val="0"/>
        </w:numPr>
        <w:spacing w:after="120"/>
        <w:jc w:val="both"/>
      </w:pPr>
    </w:p>
    <w:p>
      <w:pPr>
        <w:numPr>
          <w:ilvl w:val="0"/>
          <w:numId w:val="11"/>
        </w:numPr>
        <w:spacing w:line="360" w:lineRule="auto"/>
        <w:ind w:left="0" w:leftChars="0" w:firstLine="480" w:firstLineChars="200"/>
        <w:jc w:val="left"/>
        <w:rPr>
          <w:rFonts w:hint="eastAsia" w:ascii="宋体" w:hAnsi="宋体"/>
          <w:bCs/>
          <w:sz w:val="24"/>
          <w:szCs w:val="24"/>
        </w:rPr>
      </w:pPr>
      <w:r>
        <w:rPr>
          <w:rFonts w:hint="eastAsia" w:ascii="宋体" w:hAnsi="宋体"/>
          <w:bCs/>
          <w:sz w:val="24"/>
          <w:szCs w:val="24"/>
        </w:rPr>
        <w:t>设备数量：</w:t>
      </w:r>
      <w:r>
        <w:rPr>
          <w:rFonts w:hint="eastAsia" w:ascii="宋体" w:hAnsi="宋体"/>
          <w:bCs/>
          <w:sz w:val="24"/>
          <w:szCs w:val="24"/>
          <w:lang w:val="en-US" w:eastAsia="zh-CN"/>
        </w:rPr>
        <w:t>1</w:t>
      </w:r>
      <w:r>
        <w:rPr>
          <w:rFonts w:hint="eastAsia" w:ascii="宋体" w:hAnsi="宋体"/>
          <w:bCs/>
          <w:sz w:val="24"/>
          <w:szCs w:val="24"/>
        </w:rPr>
        <w:t>套。</w:t>
      </w:r>
    </w:p>
    <w:p>
      <w:pPr>
        <w:pStyle w:val="2"/>
        <w:keepNext/>
        <w:keepLines/>
        <w:spacing w:line="360" w:lineRule="auto"/>
        <w:ind w:left="0"/>
        <w:jc w:val="both"/>
        <w:rPr>
          <w:rFonts w:hint="eastAsia" w:ascii="宋体" w:hAnsi="宋体"/>
          <w:color w:val="auto"/>
          <w:highlight w:val="none"/>
        </w:rPr>
      </w:pPr>
      <w:r>
        <w:rPr>
          <w:rFonts w:hint="eastAsia" w:ascii="宋体" w:hAnsi="宋体"/>
          <w:color w:val="auto"/>
          <w:highlight w:val="none"/>
        </w:rPr>
        <w:t>四、工程界面</w:t>
      </w:r>
      <w:bookmarkEnd w:id="44"/>
    </w:p>
    <w:p>
      <w:pPr>
        <w:spacing w:line="360" w:lineRule="auto"/>
        <w:jc w:val="left"/>
        <w:rPr>
          <w:rFonts w:ascii="宋体" w:hAnsi="宋体"/>
          <w:bCs/>
          <w:sz w:val="24"/>
          <w:szCs w:val="24"/>
        </w:rPr>
      </w:pPr>
      <w:bookmarkStart w:id="47" w:name="_Toc32178"/>
      <w:r>
        <w:rPr>
          <w:rFonts w:hint="eastAsia" w:ascii="宋体" w:hAnsi="宋体"/>
          <w:bCs/>
          <w:sz w:val="24"/>
          <w:szCs w:val="24"/>
        </w:rPr>
        <w:t>1、动力接口</w:t>
      </w:r>
    </w:p>
    <w:p>
      <w:pPr>
        <w:spacing w:line="360" w:lineRule="auto"/>
        <w:ind w:firstLine="480" w:firstLineChars="200"/>
        <w:jc w:val="left"/>
        <w:rPr>
          <w:rFonts w:ascii="宋体" w:hAnsi="宋体"/>
          <w:bCs/>
          <w:sz w:val="24"/>
          <w:szCs w:val="24"/>
        </w:rPr>
      </w:pPr>
      <w:r>
        <w:rPr>
          <w:rFonts w:hint="eastAsia" w:ascii="宋体" w:hAnsi="宋体"/>
          <w:bCs/>
          <w:sz w:val="24"/>
          <w:szCs w:val="24"/>
        </w:rPr>
        <w:t>招标方负责将厂房</w:t>
      </w:r>
      <w:r>
        <w:rPr>
          <w:rFonts w:hint="eastAsia" w:ascii="宋体" w:hAnsi="宋体"/>
          <w:bCs/>
          <w:sz w:val="24"/>
          <w:szCs w:val="24"/>
          <w:lang w:eastAsia="zh-CN"/>
        </w:rPr>
        <w:t>灯检线的</w:t>
      </w:r>
      <w:r>
        <w:rPr>
          <w:rFonts w:hint="eastAsia" w:ascii="宋体" w:hAnsi="宋体"/>
          <w:bCs/>
          <w:sz w:val="24"/>
          <w:szCs w:val="24"/>
        </w:rPr>
        <w:t>相关线束接入到各生产区域需求点，投标方负责从需求点接入设备。</w:t>
      </w:r>
    </w:p>
    <w:p>
      <w:pPr>
        <w:pStyle w:val="2"/>
        <w:keepNext/>
        <w:keepLines/>
        <w:spacing w:line="360" w:lineRule="auto"/>
        <w:ind w:left="0"/>
        <w:jc w:val="both"/>
        <w:rPr>
          <w:rFonts w:hint="eastAsia" w:ascii="宋体" w:hAnsi="宋体"/>
          <w:color w:val="auto"/>
          <w:highlight w:val="none"/>
        </w:rPr>
      </w:pPr>
      <w:r>
        <w:rPr>
          <w:rFonts w:hint="eastAsia" w:ascii="宋体" w:hAnsi="宋体"/>
          <w:color w:val="auto"/>
          <w:highlight w:val="none"/>
        </w:rPr>
        <w:t>五、标的物技术要求</w:t>
      </w:r>
      <w:bookmarkEnd w:id="45"/>
      <w:bookmarkEnd w:id="46"/>
      <w:bookmarkEnd w:id="47"/>
    </w:p>
    <w:p>
      <w:pPr>
        <w:spacing w:line="360" w:lineRule="auto"/>
        <w:ind w:firstLine="480" w:firstLineChars="200"/>
        <w:jc w:val="left"/>
        <w:rPr>
          <w:rFonts w:hint="default" w:ascii="宋体" w:hAnsi="宋体"/>
          <w:bCs/>
          <w:sz w:val="24"/>
          <w:szCs w:val="24"/>
          <w:lang w:val="en-US" w:eastAsia="zh-CN"/>
        </w:rPr>
      </w:pPr>
      <w:r>
        <w:rPr>
          <w:rFonts w:hint="eastAsia" w:ascii="宋体" w:hAnsi="宋体"/>
          <w:bCs/>
          <w:sz w:val="24"/>
          <w:szCs w:val="24"/>
          <w:lang w:val="en-US" w:eastAsia="zh-CN"/>
        </w:rPr>
        <w:t>各项技术要求如下：</w:t>
      </w:r>
    </w:p>
    <w:tbl>
      <w:tblPr>
        <w:tblStyle w:val="38"/>
        <w:tblW w:w="973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2"/>
        <w:gridCol w:w="7050"/>
        <w:gridCol w:w="1150"/>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子项名称</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报交线：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①单通道宽板链输送线 L=80m B=3m；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②整线长度不低于80m，宽度不低于6m，高度不低于3m</w:t>
            </w:r>
            <w:r>
              <w:rPr>
                <w:rFonts w:hint="eastAsia" w:ascii="宋体" w:hAnsi="宋体" w:cs="宋体"/>
                <w:i w:val="0"/>
                <w:iCs w:val="0"/>
                <w:color w:val="000000"/>
                <w:kern w:val="0"/>
                <w:sz w:val="24"/>
                <w:szCs w:val="24"/>
                <w:u w:val="none"/>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③高位检测区需配备踏台</w:t>
            </w:r>
            <w:r>
              <w:rPr>
                <w:rFonts w:hint="eastAsia" w:ascii="宋体" w:hAnsi="宋体" w:eastAsia="宋体" w:cs="宋体"/>
                <w:i w:val="0"/>
                <w:iCs w:val="0"/>
                <w:color w:val="000000"/>
                <w:kern w:val="0"/>
                <w:sz w:val="24"/>
                <w:szCs w:val="24"/>
                <w:u w:val="none"/>
                <w:lang w:val="en-US" w:eastAsia="zh-CN" w:bidi="ar"/>
              </w:rPr>
              <w:t>。</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驱动装置：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建议采用二级传动，结构简单，使用安全可靠。选用一体式电机减速机</w:t>
            </w:r>
            <w:r>
              <w:rPr>
                <w:rFonts w:hint="eastAsia" w:ascii="宋体" w:hAnsi="宋体" w:cs="宋体"/>
                <w:i w:val="0"/>
                <w:iCs w:val="0"/>
                <w:color w:val="000000"/>
                <w:kern w:val="0"/>
                <w:sz w:val="24"/>
                <w:szCs w:val="24"/>
                <w:u w:val="none"/>
                <w:lang w:val="en-US" w:eastAsia="zh-CN" w:bidi="ar"/>
              </w:rPr>
              <w:t>（品牌要求：SEW或同等级）</w:t>
            </w:r>
            <w:r>
              <w:rPr>
                <w:rFonts w:hint="eastAsia" w:ascii="宋体" w:hAnsi="宋体" w:eastAsia="宋体" w:cs="宋体"/>
                <w:i w:val="0"/>
                <w:iCs w:val="0"/>
                <w:color w:val="000000"/>
                <w:kern w:val="0"/>
                <w:sz w:val="24"/>
                <w:szCs w:val="24"/>
                <w:u w:val="none"/>
                <w:lang w:val="en-US" w:eastAsia="zh-CN" w:bidi="ar"/>
              </w:rPr>
              <w:t>，传动链条为套筒滚子链，链轮材质为40Cr钢，齿面淬火；</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头轮装置的主轴材质为40Cr。传动链轮、牵引链轮材质为40Cr钢，齿面淬火处理，保证齿面硬度。传动链轮设安全销。</w:t>
            </w:r>
            <w:r>
              <w:rPr>
                <w:rFonts w:hint="eastAsia" w:ascii="宋体" w:hAnsi="宋体" w:cs="宋体"/>
                <w:i w:val="0"/>
                <w:iCs w:val="0"/>
                <w:color w:val="000000"/>
                <w:kern w:val="0"/>
                <w:sz w:val="24"/>
                <w:szCs w:val="24"/>
                <w:u w:val="none"/>
                <w:lang w:val="en-US" w:eastAsia="zh-CN" w:bidi="ar"/>
              </w:rPr>
              <w:t>要求链速可调节。</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张紧装置：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建议用丝杠张紧。张紧装置由滑块轴承、张紧轴、链轮、张紧丝杠和支架等组成。尾轮轴、链轮、丝杠等部件材料为40Cr钢。</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轨道系统：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轨道架采用槽钢焊接结构，高低可以进行调整，方便安装。当整车行至生产线末端时，检测到有车处于该位置时，触发报警并停线，由专业操作工将车开出后，设备重新启动运行。</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输送链条：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牵引链条行走轮内安装轴承，降低运行阻力，避免爬行。</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盖板及围栏：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在输送带的两端,地坑盖板的设计承载能力至少3t/m</w:t>
            </w:r>
            <w:r>
              <w:rPr>
                <w:rFonts w:hint="eastAsia" w:ascii="宋体" w:hAnsi="宋体" w:eastAsia="宋体" w:cs="宋体"/>
                <w:i w:val="0"/>
                <w:iCs w:val="0"/>
                <w:color w:val="000000"/>
                <w:kern w:val="0"/>
                <w:sz w:val="24"/>
                <w:szCs w:val="24"/>
                <w:u w:val="none"/>
                <w:vertAlign w:val="superscript"/>
                <w:lang w:val="en-US" w:eastAsia="zh-CN" w:bidi="ar"/>
              </w:rPr>
              <w:t>2</w:t>
            </w:r>
            <w:r>
              <w:rPr>
                <w:rFonts w:hint="eastAsia" w:ascii="宋体" w:hAnsi="宋体" w:eastAsia="宋体" w:cs="宋体"/>
                <w:i w:val="0"/>
                <w:iCs w:val="0"/>
                <w:color w:val="000000"/>
                <w:kern w:val="0"/>
                <w:sz w:val="24"/>
                <w:szCs w:val="24"/>
                <w:u w:val="none"/>
                <w:lang w:val="en-US" w:eastAsia="zh-CN" w:bidi="ar"/>
              </w:rPr>
              <w:t>；确保地坑盖板的边缘部位不能划伤轮胎；涂层 地坑内钢构件及盖板内表面，底漆: 防腐(1层) ；</w:t>
            </w:r>
          </w:p>
          <w:p>
            <w:pPr>
              <w:pStyle w:val="13"/>
              <w:rPr>
                <w:rFonts w:hint="default"/>
                <w:lang w:val="en-US"/>
              </w:rPr>
            </w:pPr>
            <w:r>
              <w:rPr>
                <w:rFonts w:hint="eastAsia" w:ascii="宋体" w:hAnsi="宋体" w:cs="宋体"/>
                <w:i w:val="0"/>
                <w:iCs w:val="0"/>
                <w:color w:val="000000"/>
                <w:kern w:val="0"/>
                <w:sz w:val="24"/>
                <w:szCs w:val="24"/>
                <w:u w:val="none"/>
                <w:lang w:val="en-US" w:eastAsia="zh-CN" w:bidi="ar"/>
              </w:rPr>
              <w:t>输送带两侧应设置盖板，防止物品掉落。</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①在输送带的两端,地坑盖板的设计承载能力至少每平米3t；</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②确保地坑盖板的边缘部位不能划伤轮胎；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③确保板链防锈、耐磨、防腐；</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④设置自动润滑装置；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⑤设置入口导向及出入口防撞装置；</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⑥设置过载保护；</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⑦设置紧急制动装置。</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灯廊：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①灯廊覆盖10个有效工位；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②灯廊采用拱门型结构；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③灯廊整体照度不低于1500lux；</w:t>
            </w:r>
          </w:p>
          <w:p>
            <w:pPr>
              <w:keepNext w:val="0"/>
              <w:keepLines w:val="0"/>
              <w:widowControl/>
              <w:suppressLineNumbers w:val="0"/>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④光源显色性Ra</w:t>
            </w:r>
            <w:r>
              <w:rPr>
                <w:rFonts w:hint="eastAsia" w:ascii="宋体" w:hAnsi="宋体" w:cs="宋体"/>
                <w:i w:val="0"/>
                <w:iCs w:val="0"/>
                <w:color w:val="000000"/>
                <w:kern w:val="0"/>
                <w:sz w:val="24"/>
                <w:szCs w:val="24"/>
                <w:u w:val="none"/>
                <w:lang w:val="en-US" w:eastAsia="zh-CN" w:bidi="ar"/>
              </w:rPr>
              <w:t>值</w:t>
            </w:r>
            <w:r>
              <w:rPr>
                <w:rFonts w:hint="eastAsia" w:ascii="宋体" w:hAnsi="宋体" w:eastAsia="宋体" w:cs="宋体"/>
                <w:i w:val="0"/>
                <w:iCs w:val="0"/>
                <w:color w:val="000000"/>
                <w:kern w:val="0"/>
                <w:sz w:val="24"/>
                <w:szCs w:val="24"/>
                <w:u w:val="none"/>
                <w:lang w:val="en-US" w:eastAsia="zh-CN" w:bidi="ar"/>
              </w:rPr>
              <w:t>不低于90；</w:t>
            </w:r>
          </w:p>
          <w:p>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⑤光源平均寿命不低于100000h</w:t>
            </w:r>
            <w:r>
              <w:rPr>
                <w:rFonts w:hint="eastAsia" w:ascii="宋体" w:hAnsi="宋体" w:cs="宋体"/>
                <w:i w:val="0"/>
                <w:iCs w:val="0"/>
                <w:color w:val="000000"/>
                <w:kern w:val="0"/>
                <w:sz w:val="24"/>
                <w:szCs w:val="24"/>
                <w:u w:val="none"/>
                <w:lang w:val="en-US" w:eastAsia="zh-CN" w:bidi="ar"/>
              </w:rPr>
              <w:t>；</w:t>
            </w:r>
          </w:p>
          <w:p>
            <w:pPr>
              <w:keepNext w:val="0"/>
              <w:keepLines w:val="0"/>
              <w:widowControl/>
              <w:suppressLineNumbers w:val="0"/>
              <w:jc w:val="both"/>
              <w:textAlignment w:val="center"/>
              <w:rPr>
                <w:rFonts w:hint="default" w:eastAsia="宋体"/>
                <w:lang w:val="en-US" w:eastAsia="zh-CN"/>
              </w:rPr>
            </w:pPr>
            <w:r>
              <w:rPr>
                <w:rFonts w:hint="eastAsia" w:ascii="宋体" w:hAnsi="宋体" w:cs="宋体"/>
                <w:i w:val="0"/>
                <w:iCs w:val="0"/>
                <w:color w:val="000000"/>
                <w:kern w:val="0"/>
                <w:sz w:val="24"/>
                <w:szCs w:val="24"/>
                <w:u w:val="none"/>
                <w:lang w:val="en-US" w:eastAsia="zh-CN" w:bidi="ar"/>
              </w:rPr>
              <w:t>⑥</w:t>
            </w:r>
            <w:r>
              <w:rPr>
                <w:rFonts w:hint="eastAsia" w:ascii="宋体" w:hAnsi="宋体" w:eastAsia="宋体" w:cs="宋体"/>
                <w:i w:val="0"/>
                <w:iCs w:val="0"/>
                <w:color w:val="000000"/>
                <w:kern w:val="0"/>
                <w:sz w:val="24"/>
                <w:szCs w:val="24"/>
                <w:u w:val="none"/>
                <w:lang w:val="en-US" w:eastAsia="zh-CN" w:bidi="ar"/>
              </w:rPr>
              <w:t>照明灯具排布，应满足车辆外观光照均匀，不能有明显的亮暗点线或区域，同时能够满足两侧检查人员正常工作、移动时，照度不受明显影响。</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电源电压：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AC220V±10％  50Hz±2％；</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AC380V±10％ 三相五线制。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控制系统，需满足以下要求：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①线体速度可进行变速调节；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②对每个工位区域的灯可进行单独开关；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③可调节光照强度。</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灯检线室体</w:t>
            </w:r>
            <w:r>
              <w:rPr>
                <w:rFonts w:hint="eastAsia" w:ascii="宋体" w:hAnsi="宋体" w:cs="宋体"/>
                <w:i w:val="0"/>
                <w:iCs w:val="0"/>
                <w:color w:val="000000"/>
                <w:kern w:val="0"/>
                <w:sz w:val="24"/>
                <w:szCs w:val="24"/>
                <w:u w:val="none"/>
                <w:lang w:val="en-US" w:eastAsia="zh-CN" w:bidi="ar"/>
              </w:rPr>
              <w:t>：</w:t>
            </w:r>
          </w:p>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铝合金板房，板房的内部长宽高尺寸为84×10×5m</w:t>
            </w:r>
            <w:r>
              <w:rPr>
                <w:rFonts w:hint="eastAsia" w:ascii="宋体" w:hAnsi="宋体" w:cs="宋体"/>
                <w:i w:val="0"/>
                <w:iCs w:val="0"/>
                <w:color w:val="000000"/>
                <w:kern w:val="0"/>
                <w:sz w:val="24"/>
                <w:szCs w:val="24"/>
                <w:u w:val="none"/>
                <w:lang w:val="en-US" w:eastAsia="zh-CN" w:bidi="ar"/>
              </w:rPr>
              <w:t>，板房具备保温功能，至少含有100mm的保温材料（保温材料满足消防要求）</w:t>
            </w:r>
            <w:r>
              <w:rPr>
                <w:rFonts w:hint="eastAsia" w:ascii="宋体" w:hAnsi="宋体" w:eastAsia="宋体" w:cs="宋体"/>
                <w:i w:val="0"/>
                <w:iCs w:val="0"/>
                <w:color w:val="000000"/>
                <w:kern w:val="0"/>
                <w:sz w:val="24"/>
                <w:szCs w:val="24"/>
                <w:u w:val="none"/>
                <w:lang w:val="en-US" w:eastAsia="zh-CN" w:bidi="ar"/>
              </w:rPr>
              <w:t>，具体尺寸以技术协议为准，进出口设置快速自动感应升降门。</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11</w:t>
            </w:r>
          </w:p>
        </w:tc>
        <w:tc>
          <w:tcPr>
            <w:tcW w:w="7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急停开关：</w:t>
            </w:r>
          </w:p>
          <w:p>
            <w:pPr>
              <w:pStyle w:val="13"/>
              <w:rPr>
                <w:rFonts w:hint="default"/>
                <w:lang w:val="en-US" w:eastAsia="zh-CN"/>
              </w:rPr>
            </w:pPr>
            <w:r>
              <w:rPr>
                <w:rFonts w:hint="eastAsia" w:ascii="宋体" w:hAnsi="宋体" w:cs="宋体"/>
                <w:i w:val="0"/>
                <w:iCs w:val="0"/>
                <w:color w:val="000000"/>
                <w:kern w:val="0"/>
                <w:sz w:val="24"/>
                <w:szCs w:val="24"/>
                <w:u w:val="none"/>
                <w:lang w:val="en-US" w:eastAsia="zh-CN" w:bidi="ar"/>
              </w:rPr>
              <w:t>线体每15m设置一个急停开关。</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1套</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97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备注：</w:t>
            </w:r>
            <w:r>
              <w:rPr>
                <w:rFonts w:hint="eastAsia" w:ascii="宋体" w:hAnsi="宋体"/>
                <w:bCs/>
                <w:sz w:val="24"/>
                <w:highlight w:val="none"/>
                <w:lang w:val="en-US" w:eastAsia="zh-CN"/>
              </w:rPr>
              <w:t>投标方提供的设备外观必须满足招标方《Q/ZZ 30070—2020 设备设施颜色标识》的要求。</w:t>
            </w:r>
          </w:p>
        </w:tc>
      </w:tr>
    </w:tbl>
    <w:p>
      <w:pPr>
        <w:autoSpaceDE w:val="0"/>
        <w:autoSpaceDN w:val="0"/>
        <w:adjustRightInd w:val="0"/>
        <w:spacing w:line="480" w:lineRule="exact"/>
        <w:jc w:val="left"/>
        <w:rPr>
          <w:rFonts w:hint="eastAsia" w:ascii="宋体" w:hAnsi="宋体"/>
          <w:b/>
          <w:color w:val="auto"/>
          <w:sz w:val="24"/>
          <w:szCs w:val="24"/>
          <w:highlight w:val="none"/>
        </w:rPr>
      </w:pPr>
    </w:p>
    <w:p>
      <w:pPr>
        <w:pStyle w:val="2"/>
        <w:keepNext/>
        <w:keepLines/>
        <w:spacing w:line="360" w:lineRule="auto"/>
        <w:ind w:left="0"/>
        <w:jc w:val="both"/>
        <w:rPr>
          <w:rFonts w:hint="eastAsia" w:ascii="宋体" w:hAnsi="宋体"/>
          <w:color w:val="auto"/>
          <w:highlight w:val="none"/>
          <w:lang w:val="en-US" w:eastAsia="zh-CN"/>
        </w:rPr>
      </w:pPr>
      <w:bookmarkStart w:id="48" w:name="_Toc10762"/>
      <w:r>
        <w:rPr>
          <w:rFonts w:hint="eastAsia" w:ascii="宋体" w:hAnsi="宋体"/>
          <w:color w:val="auto"/>
          <w:highlight w:val="none"/>
          <w:lang w:val="en-US" w:eastAsia="zh-CN"/>
        </w:rPr>
        <w:t>六、备品、备件</w:t>
      </w:r>
      <w:bookmarkEnd w:id="48"/>
    </w:p>
    <w:p>
      <w:pPr>
        <w:keepNext w:val="0"/>
        <w:keepLines w:val="0"/>
        <w:pageBreakBefore w:val="0"/>
        <w:widowControl w:val="0"/>
        <w:numPr>
          <w:ilvl w:val="0"/>
          <w:numId w:val="0"/>
        </w:numPr>
        <w:kinsoku/>
        <w:wordWrap/>
        <w:overflowPunct/>
        <w:topLinePunct w:val="0"/>
        <w:autoSpaceDE w:val="0"/>
        <w:autoSpaceDN w:val="0"/>
        <w:bidi w:val="0"/>
        <w:adjustRightInd w:val="0"/>
        <w:snapToGrid/>
        <w:spacing w:line="480" w:lineRule="exact"/>
        <w:ind w:left="105" w:leftChars="50" w:firstLine="480" w:firstLineChars="200"/>
        <w:jc w:val="both"/>
        <w:textAlignment w:val="auto"/>
        <w:rPr>
          <w:rFonts w:hint="eastAsia" w:ascii="宋体" w:hAnsi="宋体"/>
          <w:b w:val="0"/>
          <w:bCs w:val="0"/>
          <w:color w:val="auto"/>
          <w:sz w:val="24"/>
          <w:szCs w:val="24"/>
          <w:highlight w:val="none"/>
          <w:lang w:val="en-US" w:eastAsia="zh-CN"/>
        </w:rPr>
      </w:pPr>
      <w:r>
        <w:rPr>
          <w:rFonts w:hint="eastAsia" w:ascii="宋体" w:hAnsi="宋体"/>
          <w:b w:val="0"/>
          <w:bCs w:val="0"/>
          <w:color w:val="auto"/>
          <w:sz w:val="24"/>
          <w:szCs w:val="24"/>
          <w:highlight w:val="none"/>
          <w:lang w:val="en-US" w:eastAsia="zh-CN"/>
        </w:rPr>
        <w:t>投标方向招标方提供备件清单，由招标方确认最终选择哪些作为备品备件。招标方招标文件所指备品备件、易损件和专用耗材，是招标方为保证设备质保期之后正常运行一年所自备自用的备品备件、易损件和专用耗材；投标方应免费提供满足设备正常运行一年所需的备品备件、易损件和专用耗材，并附详细清单（包括名称、型号、规格、单位、数量、生产厂家、单价、总价等条目）；投标方应提供设备维修所必需的专用工具，并附详细清单（包括名称、型号、规格、单位、数量、生产厂家、单价、总价等条目）；投标方应提供易损件和专用耗材的制造图纸及其技术要求等资料；备品备件、易损件和专用耗材，其费用应分类单列，并计入投标总报价之内。</w:t>
      </w:r>
    </w:p>
    <w:p>
      <w:pPr>
        <w:pStyle w:val="2"/>
        <w:keepNext/>
        <w:keepLines/>
        <w:spacing w:line="360" w:lineRule="auto"/>
        <w:ind w:left="0"/>
        <w:jc w:val="both"/>
        <w:rPr>
          <w:rFonts w:hint="eastAsia" w:ascii="宋体" w:hAnsi="宋体"/>
          <w:color w:val="auto"/>
          <w:highlight w:val="none"/>
          <w:lang w:val="en-US" w:eastAsia="zh-CN"/>
        </w:rPr>
      </w:pPr>
      <w:bookmarkStart w:id="49" w:name="_Toc26357134"/>
      <w:bookmarkStart w:id="50" w:name="_Toc11449"/>
      <w:bookmarkStart w:id="51" w:name="_Toc27758126"/>
      <w:r>
        <w:rPr>
          <w:rFonts w:hint="eastAsia" w:ascii="宋体" w:hAnsi="宋体"/>
          <w:color w:val="auto"/>
          <w:highlight w:val="none"/>
          <w:lang w:val="en-US" w:eastAsia="zh-CN"/>
        </w:rPr>
        <w:t>七、验收</w:t>
      </w:r>
      <w:bookmarkEnd w:id="49"/>
      <w:bookmarkEnd w:id="50"/>
      <w:bookmarkEnd w:id="51"/>
    </w:p>
    <w:p>
      <w:pPr>
        <w:snapToGrid w:val="0"/>
        <w:spacing w:line="360" w:lineRule="auto"/>
        <w:rPr>
          <w:rFonts w:hAnsi="宋体"/>
          <w:b/>
          <w:color w:val="auto"/>
          <w:sz w:val="28"/>
          <w:szCs w:val="28"/>
          <w:highlight w:val="none"/>
        </w:rPr>
      </w:pPr>
      <w:bookmarkStart w:id="52" w:name="_Toc26357135"/>
      <w:bookmarkStart w:id="53" w:name="_Toc26806122"/>
      <w:bookmarkStart w:id="54" w:name="_Toc27758127"/>
      <w:r>
        <w:rPr>
          <w:rFonts w:hint="eastAsia" w:hAnsi="宋体"/>
          <w:b/>
          <w:color w:val="auto"/>
          <w:sz w:val="28"/>
          <w:szCs w:val="28"/>
          <w:highlight w:val="none"/>
        </w:rPr>
        <w:t>1、预验收</w:t>
      </w:r>
      <w:bookmarkEnd w:id="52"/>
      <w:bookmarkEnd w:id="53"/>
      <w:bookmarkEnd w:id="54"/>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1.1设备制造完成</w:t>
      </w:r>
      <w:r>
        <w:rPr>
          <w:rFonts w:ascii="宋体" w:hAnsi="宋体"/>
          <w:color w:val="auto"/>
          <w:sz w:val="24"/>
          <w:highlight w:val="none"/>
        </w:rPr>
        <w:t>后，</w:t>
      </w:r>
      <w:r>
        <w:rPr>
          <w:rFonts w:hint="eastAsia" w:ascii="宋体" w:hAnsi="宋体"/>
          <w:color w:val="auto"/>
          <w:sz w:val="24"/>
          <w:highlight w:val="none"/>
        </w:rPr>
        <w:t>投标方在设备制造地点进行自验收，验收通过后，通知招标方到</w:t>
      </w:r>
      <w:r>
        <w:rPr>
          <w:rFonts w:ascii="宋体" w:hAnsi="宋体"/>
          <w:color w:val="auto"/>
          <w:sz w:val="24"/>
          <w:highlight w:val="none"/>
        </w:rPr>
        <w:t>制造地点进行</w:t>
      </w:r>
      <w:r>
        <w:rPr>
          <w:rFonts w:hint="eastAsia" w:ascii="宋体" w:hAnsi="宋体"/>
          <w:color w:val="auto"/>
          <w:sz w:val="24"/>
          <w:highlight w:val="none"/>
        </w:rPr>
        <w:t>项目</w:t>
      </w:r>
      <w:r>
        <w:rPr>
          <w:rFonts w:ascii="宋体" w:hAnsi="宋体"/>
          <w:color w:val="auto"/>
          <w:sz w:val="24"/>
          <w:highlight w:val="none"/>
        </w:rPr>
        <w:t>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1.2招标方负责提供相关产品件用于项目的预验收。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1.3</w:t>
      </w:r>
      <w:r>
        <w:rPr>
          <w:rFonts w:ascii="宋体" w:hAnsi="宋体"/>
          <w:color w:val="auto"/>
          <w:sz w:val="24"/>
          <w:highlight w:val="none"/>
        </w:rPr>
        <w:t>双方参加</w:t>
      </w:r>
      <w:r>
        <w:rPr>
          <w:rFonts w:hint="eastAsia" w:ascii="宋体" w:hAnsi="宋体"/>
          <w:color w:val="auto"/>
          <w:sz w:val="24"/>
          <w:highlight w:val="none"/>
        </w:rPr>
        <w:t>，</w:t>
      </w:r>
      <w:r>
        <w:rPr>
          <w:rFonts w:ascii="宋体" w:hAnsi="宋体"/>
          <w:color w:val="auto"/>
          <w:sz w:val="24"/>
          <w:highlight w:val="none"/>
        </w:rPr>
        <w:t>检查</w:t>
      </w:r>
      <w:r>
        <w:rPr>
          <w:rFonts w:hint="eastAsia" w:ascii="宋体" w:hAnsi="宋体"/>
          <w:color w:val="auto"/>
          <w:sz w:val="24"/>
          <w:highlight w:val="none"/>
        </w:rPr>
        <w:t>设备各部件</w:t>
      </w:r>
      <w:r>
        <w:rPr>
          <w:rFonts w:ascii="宋体" w:hAnsi="宋体"/>
          <w:color w:val="auto"/>
          <w:sz w:val="24"/>
          <w:highlight w:val="none"/>
        </w:rPr>
        <w:t>操作性</w:t>
      </w:r>
      <w:r>
        <w:rPr>
          <w:rFonts w:hint="eastAsia" w:ascii="宋体" w:hAnsi="宋体"/>
          <w:color w:val="auto"/>
          <w:sz w:val="24"/>
          <w:highlight w:val="none"/>
        </w:rPr>
        <w:t>等</w:t>
      </w:r>
      <w:r>
        <w:rPr>
          <w:rFonts w:ascii="宋体" w:hAnsi="宋体"/>
          <w:color w:val="auto"/>
          <w:sz w:val="24"/>
          <w:highlight w:val="none"/>
        </w:rPr>
        <w:t>。经招标方确认合格后方可包装、发运。</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1.4</w:t>
      </w:r>
      <w:r>
        <w:rPr>
          <w:rFonts w:ascii="宋体" w:hAnsi="宋体"/>
          <w:color w:val="auto"/>
          <w:sz w:val="24"/>
          <w:highlight w:val="none"/>
        </w:rPr>
        <w:t>在</w:t>
      </w:r>
      <w:r>
        <w:rPr>
          <w:rFonts w:hint="eastAsia" w:ascii="宋体" w:hAnsi="宋体"/>
          <w:color w:val="auto"/>
          <w:sz w:val="24"/>
          <w:highlight w:val="none"/>
        </w:rPr>
        <w:t>设备</w:t>
      </w:r>
      <w:r>
        <w:rPr>
          <w:rFonts w:ascii="宋体" w:hAnsi="宋体"/>
          <w:color w:val="auto"/>
          <w:sz w:val="24"/>
          <w:highlight w:val="none"/>
        </w:rPr>
        <w:t>的预验收过程中，由于投标方设计或制造等原因而出现的质量问题，招标方有权提出请投标方返修，然后再次检查直至合格。</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1.5</w:t>
      </w:r>
      <w:r>
        <w:rPr>
          <w:rFonts w:ascii="宋体" w:hAnsi="宋体"/>
          <w:color w:val="auto"/>
          <w:sz w:val="24"/>
          <w:highlight w:val="none"/>
        </w:rPr>
        <w:t>预验收合格后，发运前双方需签署预验收记录，但预验收合格的记录不能替代最终验收报告。</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1.6</w:t>
      </w:r>
      <w:r>
        <w:rPr>
          <w:rFonts w:ascii="宋体" w:hAnsi="宋体"/>
          <w:color w:val="auto"/>
          <w:sz w:val="24"/>
          <w:highlight w:val="none"/>
        </w:rPr>
        <w:t>预验收合格后的所有试件应经</w:t>
      </w:r>
      <w:r>
        <w:rPr>
          <w:rFonts w:hint="eastAsia" w:ascii="宋体" w:hAnsi="宋体"/>
          <w:color w:val="auto"/>
          <w:sz w:val="24"/>
          <w:highlight w:val="none"/>
          <w:lang w:val="en-US" w:eastAsia="zh-CN"/>
        </w:rPr>
        <w:t>防护</w:t>
      </w:r>
      <w:r>
        <w:rPr>
          <w:rFonts w:ascii="宋体" w:hAnsi="宋体"/>
          <w:color w:val="auto"/>
          <w:sz w:val="24"/>
          <w:highlight w:val="none"/>
        </w:rPr>
        <w:t>处理后</w:t>
      </w:r>
      <w:r>
        <w:rPr>
          <w:rFonts w:hint="eastAsia" w:ascii="宋体" w:hAnsi="宋体"/>
          <w:color w:val="auto"/>
          <w:sz w:val="24"/>
          <w:highlight w:val="none"/>
        </w:rPr>
        <w:t>设备</w:t>
      </w:r>
      <w:r>
        <w:rPr>
          <w:rFonts w:ascii="宋体" w:hAnsi="宋体"/>
          <w:color w:val="auto"/>
          <w:sz w:val="24"/>
          <w:highlight w:val="none"/>
        </w:rPr>
        <w:t>一起发交至招标方。</w:t>
      </w:r>
    </w:p>
    <w:p>
      <w:pPr>
        <w:snapToGrid w:val="0"/>
        <w:spacing w:line="360" w:lineRule="auto"/>
        <w:rPr>
          <w:rFonts w:hAnsi="宋体"/>
          <w:b/>
          <w:color w:val="auto"/>
          <w:sz w:val="28"/>
          <w:szCs w:val="28"/>
          <w:highlight w:val="none"/>
        </w:rPr>
      </w:pPr>
      <w:bookmarkStart w:id="55" w:name="_Toc26357136"/>
      <w:bookmarkStart w:id="56" w:name="_Toc27758128"/>
      <w:bookmarkStart w:id="57" w:name="_Toc26806123"/>
      <w:r>
        <w:rPr>
          <w:rFonts w:hint="eastAsia" w:hAnsi="宋体"/>
          <w:b/>
          <w:color w:val="auto"/>
          <w:sz w:val="28"/>
          <w:szCs w:val="28"/>
          <w:highlight w:val="none"/>
        </w:rPr>
        <w:t>2、终验收</w:t>
      </w:r>
      <w:bookmarkEnd w:id="55"/>
      <w:bookmarkEnd w:id="56"/>
      <w:bookmarkEnd w:id="57"/>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2.1</w:t>
      </w:r>
      <w:r>
        <w:rPr>
          <w:rFonts w:ascii="宋体" w:hAnsi="宋体"/>
          <w:color w:val="auto"/>
          <w:sz w:val="24"/>
          <w:highlight w:val="none"/>
        </w:rPr>
        <w:t>投标方派专家到招标方</w:t>
      </w:r>
      <w:r>
        <w:rPr>
          <w:rFonts w:hint="eastAsia" w:ascii="宋体" w:hAnsi="宋体"/>
          <w:color w:val="auto"/>
          <w:sz w:val="24"/>
          <w:highlight w:val="none"/>
        </w:rPr>
        <w:t>现场</w:t>
      </w:r>
      <w:r>
        <w:rPr>
          <w:rFonts w:ascii="宋体" w:hAnsi="宋体"/>
          <w:color w:val="auto"/>
          <w:sz w:val="24"/>
          <w:highlight w:val="none"/>
        </w:rPr>
        <w:t>对</w:t>
      </w:r>
      <w:r>
        <w:rPr>
          <w:rFonts w:hint="eastAsia" w:ascii="宋体" w:hAnsi="宋体"/>
          <w:color w:val="auto"/>
          <w:sz w:val="24"/>
          <w:highlight w:val="none"/>
        </w:rPr>
        <w:t>设备</w:t>
      </w:r>
      <w:r>
        <w:rPr>
          <w:rFonts w:ascii="宋体" w:hAnsi="宋体"/>
          <w:color w:val="auto"/>
          <w:sz w:val="24"/>
          <w:highlight w:val="none"/>
        </w:rPr>
        <w:t>进行安装调试和技术指导。</w:t>
      </w:r>
      <w:r>
        <w:rPr>
          <w:rFonts w:hint="eastAsia" w:ascii="宋体" w:hAnsi="宋体"/>
          <w:color w:val="auto"/>
          <w:sz w:val="24"/>
          <w:highlight w:val="none"/>
        </w:rPr>
        <w:t>所有设备由投标方负责</w:t>
      </w:r>
      <w:r>
        <w:rPr>
          <w:rFonts w:ascii="宋体" w:hAnsi="宋体"/>
          <w:color w:val="auto"/>
          <w:sz w:val="24"/>
          <w:highlight w:val="none"/>
        </w:rPr>
        <w:t>安装、调试完成后，双方在生产地点进行最终验收。</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2.2</w:t>
      </w:r>
      <w:r>
        <w:rPr>
          <w:rFonts w:ascii="宋体" w:hAnsi="宋体"/>
          <w:color w:val="auto"/>
          <w:sz w:val="24"/>
          <w:highlight w:val="none"/>
        </w:rPr>
        <w:t>最终验收期间若发现合同供货内容有质量问题或发现破损、缺陷和缺少零件，投标方应根据招标方要求免费更换零部件并解决问题，并且记录在终验收的报告中。</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2.3</w:t>
      </w:r>
      <w:r>
        <w:rPr>
          <w:rFonts w:ascii="宋体" w:hAnsi="宋体"/>
          <w:color w:val="auto"/>
          <w:sz w:val="24"/>
          <w:szCs w:val="24"/>
          <w:highlight w:val="none"/>
        </w:rPr>
        <w:t>按合同要求验收，若投标方提供的标的内容、技术资料与合同中规定的内容有不符或缺少时，招标方有权要求更换及补偿。</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2.4</w:t>
      </w:r>
      <w:r>
        <w:rPr>
          <w:rFonts w:ascii="宋体" w:hAnsi="宋体"/>
          <w:color w:val="auto"/>
          <w:sz w:val="24"/>
          <w:szCs w:val="24"/>
          <w:highlight w:val="none"/>
        </w:rPr>
        <w:t>检验</w:t>
      </w:r>
      <w:r>
        <w:rPr>
          <w:rFonts w:hint="eastAsia" w:ascii="宋体" w:hAnsi="宋体"/>
          <w:color w:val="auto"/>
          <w:sz w:val="24"/>
          <w:szCs w:val="24"/>
          <w:highlight w:val="none"/>
        </w:rPr>
        <w:t>设备</w:t>
      </w:r>
      <w:r>
        <w:rPr>
          <w:rFonts w:ascii="宋体" w:hAnsi="宋体"/>
          <w:color w:val="auto"/>
          <w:sz w:val="24"/>
          <w:szCs w:val="24"/>
          <w:highlight w:val="none"/>
        </w:rPr>
        <w:t>的精度</w:t>
      </w:r>
      <w:r>
        <w:rPr>
          <w:rFonts w:hint="eastAsia" w:ascii="宋体" w:hAnsi="宋体"/>
          <w:color w:val="auto"/>
          <w:sz w:val="24"/>
          <w:szCs w:val="24"/>
          <w:highlight w:val="none"/>
        </w:rPr>
        <w:t>、设备运行的稳定程度</w:t>
      </w:r>
      <w:r>
        <w:rPr>
          <w:rFonts w:ascii="宋体" w:hAnsi="宋体"/>
          <w:color w:val="auto"/>
          <w:sz w:val="24"/>
          <w:szCs w:val="24"/>
          <w:highlight w:val="none"/>
        </w:rPr>
        <w:t>，如发现与合同要求不符，投标方应负责解决。</w:t>
      </w:r>
    </w:p>
    <w:p>
      <w:pPr>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szCs w:val="24"/>
          <w:highlight w:val="none"/>
        </w:rPr>
      </w:pPr>
      <w:r>
        <w:rPr>
          <w:rFonts w:hint="eastAsia" w:ascii="宋体" w:hAnsi="宋体"/>
          <w:color w:val="auto"/>
          <w:sz w:val="24"/>
          <w:szCs w:val="24"/>
          <w:highlight w:val="none"/>
        </w:rPr>
        <w:t>2.5</w:t>
      </w:r>
      <w:r>
        <w:rPr>
          <w:rFonts w:ascii="宋体" w:hAnsi="宋体"/>
          <w:color w:val="auto"/>
          <w:sz w:val="24"/>
          <w:szCs w:val="24"/>
          <w:highlight w:val="none"/>
        </w:rPr>
        <w:t>终验收合格后，双方签署终验收合格报告。</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2.6</w:t>
      </w:r>
      <w:r>
        <w:rPr>
          <w:rFonts w:ascii="宋体" w:hAnsi="宋体"/>
          <w:color w:val="auto"/>
          <w:sz w:val="24"/>
          <w:highlight w:val="none"/>
        </w:rPr>
        <w:t>投标方</w:t>
      </w:r>
      <w:r>
        <w:rPr>
          <w:rFonts w:hint="eastAsia" w:ascii="宋体" w:hAnsi="宋体"/>
          <w:color w:val="auto"/>
          <w:sz w:val="24"/>
          <w:highlight w:val="none"/>
        </w:rPr>
        <w:t>一旦中标，</w:t>
      </w:r>
      <w:r>
        <w:rPr>
          <w:rFonts w:ascii="宋体" w:hAnsi="宋体"/>
          <w:color w:val="auto"/>
          <w:sz w:val="24"/>
          <w:highlight w:val="none"/>
        </w:rPr>
        <w:t>需向招标方提供的技术文件资料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所有技术文件资料均为纸质文件2套和电子版文件</w:t>
      </w:r>
      <w:r>
        <w:rPr>
          <w:rFonts w:hint="eastAsia" w:ascii="宋体" w:hAnsi="宋体"/>
          <w:color w:val="auto"/>
          <w:sz w:val="24"/>
          <w:highlight w:val="none"/>
        </w:rPr>
        <w:t>（含3D和2D）</w:t>
      </w:r>
      <w:r>
        <w:rPr>
          <w:rFonts w:ascii="宋体" w:hAnsi="宋体"/>
          <w:color w:val="auto"/>
          <w:sz w:val="24"/>
          <w:highlight w:val="none"/>
        </w:rPr>
        <w:t>1套，其中所有电子版文件必须使用国际通用软件以确保能在招标方的计算机中打开并进行编辑和修改。</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b/>
          <w:color w:val="auto"/>
          <w:sz w:val="24"/>
          <w:highlight w:val="none"/>
        </w:rPr>
      </w:pPr>
      <w:r>
        <w:rPr>
          <w:rFonts w:hint="eastAsia" w:ascii="宋体" w:hAnsi="宋体"/>
          <w:color w:val="auto"/>
          <w:sz w:val="24"/>
          <w:highlight w:val="none"/>
        </w:rPr>
        <w:t>2.6.1</w:t>
      </w:r>
      <w:r>
        <w:rPr>
          <w:rFonts w:ascii="宋体" w:hAnsi="宋体"/>
          <w:color w:val="auto"/>
          <w:sz w:val="24"/>
          <w:highlight w:val="none"/>
        </w:rPr>
        <w:t>工艺部分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A.工艺方案及相应的作业指导书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B.质量检验方案及相应的作业指导书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C.</w:t>
      </w:r>
      <w:r>
        <w:rPr>
          <w:rFonts w:ascii="宋体" w:hAnsi="宋体"/>
          <w:color w:val="auto"/>
          <w:sz w:val="24"/>
          <w:highlight w:val="none"/>
        </w:rPr>
        <w:t>各</w:t>
      </w:r>
      <w:r>
        <w:rPr>
          <w:rFonts w:hint="eastAsia" w:ascii="宋体" w:hAnsi="宋体"/>
          <w:color w:val="auto"/>
          <w:sz w:val="24"/>
          <w:highlight w:val="none"/>
        </w:rPr>
        <w:t>设备附件</w:t>
      </w:r>
      <w:r>
        <w:rPr>
          <w:rFonts w:ascii="宋体" w:hAnsi="宋体"/>
          <w:color w:val="auto"/>
          <w:sz w:val="24"/>
          <w:highlight w:val="none"/>
        </w:rPr>
        <w:t>的数量、规格明细及可供制造或采购的图纸、标准</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D.标的物的操作、使用和维修手册，以及液压、电气、润滑（气动）原理图；</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E.</w:t>
      </w:r>
      <w:r>
        <w:rPr>
          <w:rFonts w:ascii="宋体" w:hAnsi="宋体"/>
          <w:color w:val="auto"/>
          <w:sz w:val="24"/>
          <w:highlight w:val="none"/>
        </w:rPr>
        <w:t>提供设施消耗水、电、气的详细资料。保证设施正常运行、维护和保养所必需的其它参数和资料</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rPr>
        <w:t>F.水、电、气的位置图及接点、接口指示图。</w:t>
      </w:r>
    </w:p>
    <w:p>
      <w:pPr>
        <w:pStyle w:val="13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ascii="宋体" w:hAnsi="宋体"/>
          <w:color w:val="auto"/>
          <w:sz w:val="24"/>
          <w:highlight w:val="none"/>
        </w:rPr>
      </w:pPr>
      <w:r>
        <w:rPr>
          <w:rFonts w:hint="eastAsia" w:ascii="宋体" w:hAnsi="宋体"/>
          <w:color w:val="auto"/>
          <w:sz w:val="24"/>
          <w:highlight w:val="none"/>
        </w:rPr>
        <w:t>2.6.2工装部分</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A.工装图纸（包括总成图、分总成图、部件图、零件图、夹具基础图以及适用的标准等技术文件）</w:t>
      </w:r>
      <w:r>
        <w:rPr>
          <w:rFonts w:hint="eastAsia" w:ascii="宋体" w:hAnsi="宋体"/>
          <w:color w:val="auto"/>
          <w:sz w:val="24"/>
          <w:highlight w:val="none"/>
        </w:rPr>
        <w:t>，投标方专利部分图纸，可提供简图；</w:t>
      </w:r>
      <w:r>
        <w:rPr>
          <w:rFonts w:ascii="宋体" w:hAnsi="宋体"/>
          <w:color w:val="auto"/>
          <w:sz w:val="24"/>
          <w:highlight w:val="none"/>
        </w:rPr>
        <w:t>工装图中的各定位孔应有三坐标数据表</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B.</w:t>
      </w:r>
      <w:r>
        <w:rPr>
          <w:rFonts w:hint="eastAsia" w:ascii="宋体" w:hAnsi="宋体"/>
          <w:color w:val="auto"/>
          <w:sz w:val="24"/>
          <w:highlight w:val="none"/>
        </w:rPr>
        <w:t>设备附件等</w:t>
      </w:r>
      <w:r>
        <w:rPr>
          <w:rFonts w:ascii="宋体" w:hAnsi="宋体"/>
          <w:color w:val="auto"/>
          <w:sz w:val="24"/>
          <w:highlight w:val="none"/>
        </w:rPr>
        <w:t>明细表、外购件明细表及相应的供应商联系地址和使用、维修说明书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C.电器、压缩空气、循环水、润滑系统原理图，润滑点及相应的维护使用说明书（图）</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D.工装使用说明书</w:t>
      </w:r>
      <w:r>
        <w:rPr>
          <w:rFonts w:hint="eastAsia" w:ascii="宋体" w:hAnsi="宋体"/>
          <w:color w:val="auto"/>
          <w:sz w:val="24"/>
          <w:highlight w:val="none"/>
        </w:rPr>
        <w:t>；</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E.</w:t>
      </w:r>
      <w:r>
        <w:rPr>
          <w:rFonts w:hint="eastAsia" w:ascii="宋体" w:hAnsi="宋体"/>
          <w:color w:val="auto"/>
          <w:sz w:val="24"/>
          <w:highlight w:val="none"/>
        </w:rPr>
        <w:t>设备附件</w:t>
      </w:r>
      <w:r>
        <w:rPr>
          <w:rFonts w:ascii="宋体" w:hAnsi="宋体"/>
          <w:color w:val="auto"/>
          <w:sz w:val="24"/>
          <w:highlight w:val="none"/>
        </w:rPr>
        <w:t>检测数据记录</w:t>
      </w:r>
      <w:r>
        <w:rPr>
          <w:rFonts w:hint="eastAsia" w:ascii="宋体" w:hAnsi="宋体"/>
          <w:color w:val="auto"/>
          <w:sz w:val="24"/>
          <w:highlight w:val="none"/>
        </w:rPr>
        <w:t>，终验收前需再次进行全线工装检测，并提供相关记录；</w:t>
      </w:r>
    </w:p>
    <w:p>
      <w:pPr>
        <w:pStyle w:val="133"/>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ascii="宋体" w:hAnsi="宋体"/>
          <w:color w:val="auto"/>
          <w:sz w:val="24"/>
          <w:highlight w:val="none"/>
        </w:rPr>
        <w:t>F.</w:t>
      </w:r>
      <w:r>
        <w:rPr>
          <w:rFonts w:hint="eastAsia" w:ascii="宋体" w:hAnsi="宋体"/>
          <w:color w:val="auto"/>
          <w:sz w:val="24"/>
          <w:highlight w:val="none"/>
        </w:rPr>
        <w:t>设备</w:t>
      </w:r>
      <w:r>
        <w:rPr>
          <w:rFonts w:ascii="宋体" w:hAnsi="宋体"/>
          <w:color w:val="auto"/>
          <w:sz w:val="24"/>
          <w:highlight w:val="none"/>
        </w:rPr>
        <w:t>所</w:t>
      </w:r>
      <w:r>
        <w:rPr>
          <w:rFonts w:hint="eastAsia" w:ascii="宋体" w:hAnsi="宋体"/>
          <w:color w:val="auto"/>
          <w:sz w:val="24"/>
          <w:highlight w:val="none"/>
        </w:rPr>
        <w:t>生产产</w:t>
      </w:r>
      <w:r>
        <w:rPr>
          <w:rFonts w:ascii="宋体" w:hAnsi="宋体"/>
          <w:color w:val="auto"/>
          <w:sz w:val="24"/>
          <w:highlight w:val="none"/>
        </w:rPr>
        <w:t>品的检测记录（包括检测数据记录并进行说明）。</w:t>
      </w:r>
    </w:p>
    <w:p>
      <w:pPr>
        <w:pStyle w:val="2"/>
        <w:keepNext/>
        <w:keepLines/>
        <w:spacing w:line="360" w:lineRule="auto"/>
        <w:ind w:left="0"/>
        <w:jc w:val="both"/>
        <w:rPr>
          <w:rFonts w:hint="eastAsia" w:ascii="宋体" w:hAnsi="宋体"/>
          <w:color w:val="auto"/>
          <w:highlight w:val="none"/>
          <w:lang w:val="en-US" w:eastAsia="zh-CN"/>
        </w:rPr>
      </w:pPr>
      <w:bookmarkStart w:id="58" w:name="_Toc26357137"/>
      <w:bookmarkStart w:id="59" w:name="_Toc27758129"/>
      <w:bookmarkStart w:id="60" w:name="_Toc25336"/>
      <w:r>
        <w:rPr>
          <w:rFonts w:hint="eastAsia" w:ascii="宋体" w:hAnsi="宋体"/>
          <w:color w:val="auto"/>
          <w:highlight w:val="none"/>
          <w:lang w:val="en-US" w:eastAsia="zh-CN"/>
        </w:rPr>
        <w:t>八、服务</w:t>
      </w:r>
      <w:bookmarkEnd w:id="58"/>
      <w:bookmarkEnd w:id="59"/>
      <w:bookmarkEnd w:id="60"/>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ascii="宋体" w:hAnsi="宋体"/>
          <w:color w:val="auto"/>
          <w:sz w:val="24"/>
          <w:highlight w:val="none"/>
        </w:rPr>
        <w:t>技术培训</w:t>
      </w:r>
    </w:p>
    <w:p>
      <w:pPr>
        <w:pStyle w:val="133"/>
        <w:keepNext w:val="0"/>
        <w:keepLines w:val="0"/>
        <w:pageBreakBefore w:val="0"/>
        <w:widowControl w:val="0"/>
        <w:tabs>
          <w:tab w:val="left" w:pos="0"/>
        </w:tabs>
        <w:kinsoku/>
        <w:wordWrap/>
        <w:overflowPunct/>
        <w:topLinePunct w:val="0"/>
        <w:autoSpaceDE/>
        <w:autoSpaceDN/>
        <w:bidi w:val="0"/>
        <w:adjustRightInd/>
        <w:snapToGrid/>
        <w:spacing w:line="360" w:lineRule="auto"/>
        <w:ind w:firstLine="0" w:firstLine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1.1</w:t>
      </w:r>
      <w:r>
        <w:rPr>
          <w:rFonts w:ascii="宋体" w:hAnsi="宋体"/>
          <w:color w:val="auto"/>
          <w:sz w:val="24"/>
          <w:highlight w:val="none"/>
        </w:rPr>
        <w:t>在预验收和终验收期间，投标方应派有经验的专家对招标方相关人员进行理论和实际操作的培训，并提供成套培训资料</w:t>
      </w:r>
      <w:r>
        <w:rPr>
          <w:rFonts w:hint="eastAsia" w:ascii="宋体" w:hAnsi="宋体"/>
          <w:color w:val="auto"/>
          <w:sz w:val="24"/>
          <w:highlight w:val="none"/>
        </w:rPr>
        <w:t>，</w:t>
      </w:r>
      <w:r>
        <w:rPr>
          <w:rFonts w:ascii="宋体" w:hAnsi="宋体"/>
          <w:color w:val="auto"/>
          <w:sz w:val="24"/>
          <w:highlight w:val="none"/>
        </w:rPr>
        <w:t>所有培训应是免费的。</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1.2</w:t>
      </w:r>
      <w:r>
        <w:rPr>
          <w:rFonts w:ascii="宋体" w:hAnsi="宋体"/>
          <w:color w:val="auto"/>
          <w:sz w:val="24"/>
          <w:highlight w:val="none"/>
        </w:rPr>
        <w:t>培训结束后，投标方应保证招标方相关人员能正确、熟练地掌握标的物的操作和维护，并在</w:t>
      </w:r>
      <w:r>
        <w:rPr>
          <w:rFonts w:hint="eastAsia" w:ascii="宋体" w:hAnsi="宋体"/>
          <w:color w:val="auto"/>
          <w:sz w:val="24"/>
          <w:highlight w:val="none"/>
        </w:rPr>
        <w:t>各条线体</w:t>
      </w:r>
      <w:r>
        <w:rPr>
          <w:rFonts w:ascii="宋体" w:hAnsi="宋体"/>
          <w:color w:val="auto"/>
          <w:sz w:val="24"/>
          <w:highlight w:val="none"/>
        </w:rPr>
        <w:t>正常运行时，能排除一般性故障。</w:t>
      </w:r>
    </w:p>
    <w:p>
      <w:pPr>
        <w:pStyle w:val="133"/>
        <w:keepNext w:val="0"/>
        <w:keepLines w:val="0"/>
        <w:pageBreakBefore w:val="0"/>
        <w:widowControl w:val="0"/>
        <w:numPr>
          <w:ilvl w:val="0"/>
          <w:numId w:val="0"/>
        </w:numPr>
        <w:tabs>
          <w:tab w:val="left" w:pos="1005"/>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1.3</w:t>
      </w:r>
      <w:r>
        <w:rPr>
          <w:rFonts w:ascii="宋体" w:hAnsi="宋体"/>
          <w:color w:val="auto"/>
          <w:sz w:val="24"/>
          <w:highlight w:val="none"/>
        </w:rPr>
        <w:t>培训期间的交流语言为中文，当采用其他语言时投标方应提供翻译。</w:t>
      </w:r>
    </w:p>
    <w:p>
      <w:pPr>
        <w:pStyle w:val="133"/>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质量保证期及售后服务</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2.1</w:t>
      </w:r>
      <w:r>
        <w:rPr>
          <w:rFonts w:ascii="宋体" w:hAnsi="宋体"/>
          <w:color w:val="auto"/>
          <w:sz w:val="24"/>
          <w:highlight w:val="none"/>
        </w:rPr>
        <w:t>质量保证期为标的最终验收合格后1</w:t>
      </w:r>
      <w:r>
        <w:rPr>
          <w:rFonts w:hint="eastAsia" w:ascii="宋体" w:hAnsi="宋体"/>
          <w:color w:val="auto"/>
          <w:sz w:val="24"/>
          <w:highlight w:val="none"/>
        </w:rPr>
        <w:t>2</w:t>
      </w:r>
      <w:r>
        <w:rPr>
          <w:rFonts w:ascii="宋体" w:hAnsi="宋体"/>
          <w:color w:val="auto"/>
          <w:sz w:val="24"/>
          <w:highlight w:val="none"/>
        </w:rPr>
        <w:t>个月。</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在设备终验收后</w:t>
      </w:r>
      <w:r>
        <w:rPr>
          <w:rFonts w:ascii="宋体" w:hAnsi="宋体"/>
          <w:color w:val="auto"/>
          <w:sz w:val="24"/>
          <w:highlight w:val="none"/>
        </w:rPr>
        <w:t>，投标方应派专业人员</w:t>
      </w:r>
      <w:r>
        <w:rPr>
          <w:rFonts w:hint="eastAsia" w:ascii="宋体" w:hAnsi="宋体"/>
          <w:color w:val="auto"/>
          <w:sz w:val="24"/>
          <w:highlight w:val="none"/>
        </w:rPr>
        <w:t>到招标方现场</w:t>
      </w:r>
      <w:r>
        <w:rPr>
          <w:rFonts w:ascii="宋体" w:hAnsi="宋体"/>
          <w:color w:val="auto"/>
          <w:sz w:val="24"/>
          <w:highlight w:val="none"/>
        </w:rPr>
        <w:t>陪产</w:t>
      </w:r>
      <w:r>
        <w:rPr>
          <w:rFonts w:hint="eastAsia" w:ascii="宋体" w:hAnsi="宋体"/>
          <w:color w:val="auto"/>
          <w:sz w:val="24"/>
          <w:highlight w:val="none"/>
        </w:rPr>
        <w:t>12</w:t>
      </w:r>
      <w:r>
        <w:rPr>
          <w:rFonts w:ascii="宋体" w:hAnsi="宋体"/>
          <w:color w:val="auto"/>
          <w:sz w:val="24"/>
          <w:highlight w:val="none"/>
        </w:rPr>
        <w:t>个月，</w:t>
      </w:r>
      <w:r>
        <w:rPr>
          <w:rFonts w:hint="eastAsia" w:ascii="宋体" w:hAnsi="宋体"/>
          <w:color w:val="auto"/>
          <w:sz w:val="24"/>
          <w:highlight w:val="none"/>
        </w:rPr>
        <w:t>提供技术服务，</w:t>
      </w:r>
      <w:r>
        <w:rPr>
          <w:rFonts w:ascii="宋体" w:hAnsi="宋体"/>
          <w:color w:val="auto"/>
          <w:sz w:val="24"/>
          <w:highlight w:val="none"/>
        </w:rPr>
        <w:t>以确保</w:t>
      </w:r>
      <w:r>
        <w:rPr>
          <w:rFonts w:hint="eastAsia" w:ascii="宋体" w:hAnsi="宋体"/>
          <w:color w:val="auto"/>
          <w:sz w:val="24"/>
          <w:highlight w:val="none"/>
        </w:rPr>
        <w:t>各设备稳定运行以及</w:t>
      </w:r>
      <w:r>
        <w:rPr>
          <w:rFonts w:ascii="宋体" w:hAnsi="宋体"/>
          <w:color w:val="auto"/>
          <w:sz w:val="24"/>
          <w:highlight w:val="none"/>
        </w:rPr>
        <w:t>生产节拍、产品质量和精度</w:t>
      </w:r>
      <w:r>
        <w:rPr>
          <w:rFonts w:hint="eastAsia" w:ascii="宋体" w:hAnsi="宋体"/>
          <w:color w:val="auto"/>
          <w:sz w:val="24"/>
          <w:highlight w:val="none"/>
        </w:rPr>
        <w:t>，如生产线在陪产期间有重大故障发生，陪产看护期顺延，以故障排除之日起重新计算12个月陪产期。</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质保期内维修使用的备品备件由投标方提供。</w:t>
      </w:r>
    </w:p>
    <w:p>
      <w:pPr>
        <w:pStyle w:val="133"/>
        <w:keepNext w:val="0"/>
        <w:keepLines w:val="0"/>
        <w:pageBreakBefore w:val="0"/>
        <w:widowControl w:val="0"/>
        <w:numPr>
          <w:ilvl w:val="0"/>
          <w:numId w:val="0"/>
        </w:numPr>
        <w:tabs>
          <w:tab w:val="left" w:pos="1020"/>
        </w:tabs>
        <w:kinsoku/>
        <w:wordWrap/>
        <w:overflowPunct/>
        <w:topLinePunct w:val="0"/>
        <w:autoSpaceDE/>
        <w:autoSpaceDN/>
        <w:bidi w:val="0"/>
        <w:adjustRightInd/>
        <w:snapToGrid/>
        <w:spacing w:line="360" w:lineRule="auto"/>
        <w:ind w:leftChars="0"/>
        <w:jc w:val="both"/>
        <w:textAlignment w:val="auto"/>
        <w:rPr>
          <w:rFonts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质保期过后，投标方提供备品备件的明细、品牌和参数，招标方根据实际需求采购。</w:t>
      </w:r>
    </w:p>
    <w:p>
      <w:pPr>
        <w:pStyle w:val="2"/>
        <w:keepNext/>
        <w:keepLines/>
        <w:spacing w:line="360" w:lineRule="auto"/>
        <w:ind w:left="0"/>
        <w:jc w:val="both"/>
        <w:rPr>
          <w:rFonts w:hint="eastAsia" w:ascii="宋体" w:hAnsi="宋体"/>
          <w:color w:val="auto"/>
          <w:highlight w:val="none"/>
          <w:lang w:val="en-US" w:eastAsia="zh-CN"/>
        </w:rPr>
      </w:pPr>
      <w:bookmarkStart w:id="61" w:name="_Toc27758130"/>
      <w:bookmarkStart w:id="62" w:name="_Toc26357138"/>
      <w:bookmarkStart w:id="63" w:name="_Toc17670"/>
      <w:r>
        <w:rPr>
          <w:rFonts w:hint="eastAsia" w:ascii="宋体" w:hAnsi="宋体"/>
          <w:color w:val="auto"/>
          <w:highlight w:val="none"/>
          <w:lang w:val="en-US" w:eastAsia="zh-CN"/>
        </w:rPr>
        <w:t>九、交货期</w:t>
      </w:r>
      <w:bookmarkEnd w:id="61"/>
      <w:bookmarkEnd w:id="62"/>
      <w:bookmarkEnd w:id="63"/>
    </w:p>
    <w:p>
      <w:pPr>
        <w:pStyle w:val="2"/>
        <w:keepNext/>
        <w:keepLines/>
        <w:pageBreakBefore w:val="0"/>
        <w:widowControl w:val="0"/>
        <w:tabs>
          <w:tab w:val="right" w:leader="dot" w:pos="9061"/>
        </w:tabs>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b w:val="0"/>
          <w:color w:val="auto"/>
          <w:sz w:val="24"/>
          <w:szCs w:val="24"/>
          <w:highlight w:val="none"/>
        </w:rPr>
        <w:t>投标方收到中标通知书后45个日历日内所有设备完成预验收并发运至招标方指定地点。</w:t>
      </w:r>
      <w:bookmarkEnd w:id="37"/>
    </w:p>
    <w:p>
      <w:pPr>
        <w:pStyle w:val="12"/>
        <w:rPr>
          <w:rFonts w:hint="eastAsia"/>
        </w:rPr>
      </w:pPr>
    </w:p>
    <w:p>
      <w:pPr>
        <w:pStyle w:val="17"/>
        <w:spacing w:line="360" w:lineRule="auto"/>
        <w:rPr>
          <w:rFonts w:hint="eastAsia" w:hAnsi="宋体" w:eastAsia="宋体" w:cs="宋体"/>
          <w:sz w:val="24"/>
          <w:szCs w:val="24"/>
        </w:rPr>
        <w:sectPr>
          <w:headerReference r:id="rId10" w:type="default"/>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pStyle w:val="17"/>
      </w:pPr>
    </w:p>
    <w:p>
      <w:pPr>
        <w:spacing w:line="360" w:lineRule="auto"/>
        <w:jc w:val="center"/>
        <w:outlineLvl w:val="0"/>
        <w:rPr>
          <w:rFonts w:ascii="宋体" w:hAnsi="Calibri" w:eastAsia="宋体" w:cs="Times New Roman"/>
          <w:b/>
          <w:sz w:val="36"/>
          <w:szCs w:val="36"/>
        </w:rPr>
      </w:pPr>
      <w:bookmarkStart w:id="6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highlight w:val="yellow"/>
          <w:lang w:val="en-US" w:eastAsia="zh-CN"/>
        </w:rPr>
        <w:t>（</w:t>
      </w:r>
      <w:r>
        <w:rPr>
          <w:rFonts w:hint="eastAsia" w:ascii="宋体" w:hAnsi="宋体" w:eastAsia="宋体" w:cs="宋体"/>
          <w:b/>
          <w:sz w:val="24"/>
          <w:szCs w:val="24"/>
          <w:highlight w:val="yellow"/>
          <w:lang w:val="en-US" w:eastAsia="zh-CN"/>
        </w:rPr>
        <w:t>合同以双方最终签署的版本为准</w:t>
      </w:r>
      <w:r>
        <w:rPr>
          <w:rFonts w:hint="eastAsia" w:hAnsi="宋体" w:eastAsia="宋体" w:cs="宋体"/>
          <w:b/>
          <w:sz w:val="24"/>
          <w:szCs w:val="24"/>
          <w:highlight w:val="yellow"/>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1930"/>
      <w:bookmarkStart w:id="66" w:name="_Toc11823"/>
      <w:bookmarkStart w:id="67" w:name="_Toc17619"/>
      <w:bookmarkStart w:id="68" w:name="_Toc16330018"/>
      <w:r>
        <w:rPr>
          <w:rFonts w:hint="eastAsia" w:ascii="黑体" w:hAnsi="黑体" w:eastAsia="黑体" w:cstheme="minorEastAsia"/>
          <w:b w:val="0"/>
          <w:sz w:val="28"/>
          <w:szCs w:val="28"/>
        </w:rPr>
        <w:t>1 合同设备</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69" w:name="_Toc32510"/>
      <w:bookmarkStart w:id="70" w:name="_Toc22800"/>
      <w:bookmarkStart w:id="71"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2" w:name="_Toc16330019"/>
      <w:r>
        <w:rPr>
          <w:rFonts w:hint="eastAsia" w:ascii="黑体" w:hAnsi="黑体" w:eastAsia="黑体" w:cstheme="minorEastAsia"/>
          <w:b w:val="0"/>
          <w:sz w:val="28"/>
          <w:szCs w:val="28"/>
        </w:rPr>
        <w:t>2 包装</w:t>
      </w:r>
      <w:bookmarkEnd w:id="69"/>
      <w:bookmarkEnd w:id="70"/>
      <w:bookmarkEnd w:id="71"/>
      <w:bookmarkEnd w:id="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6330020"/>
      <w:bookmarkStart w:id="74" w:name="_Toc27144"/>
      <w:bookmarkStart w:id="75" w:name="_Toc2833"/>
      <w:bookmarkStart w:id="76" w:name="_Toc27453"/>
      <w:r>
        <w:rPr>
          <w:rFonts w:hint="eastAsia" w:ascii="黑体" w:hAnsi="黑体" w:eastAsia="黑体" w:cstheme="minorEastAsia"/>
          <w:b w:val="0"/>
          <w:sz w:val="28"/>
          <w:szCs w:val="28"/>
        </w:rPr>
        <w:t>3 运输标记</w:t>
      </w:r>
      <w:bookmarkEnd w:id="73"/>
      <w:bookmarkEnd w:id="74"/>
      <w:bookmarkEnd w:id="75"/>
      <w:bookmarkEnd w:id="7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16133"/>
      <w:bookmarkStart w:id="78" w:name="_Toc10630"/>
      <w:bookmarkStart w:id="79" w:name="_Toc16330021"/>
      <w:bookmarkStart w:id="80" w:name="_Toc7431"/>
      <w:r>
        <w:rPr>
          <w:rFonts w:hint="eastAsia" w:ascii="黑体" w:hAnsi="黑体" w:eastAsia="黑体" w:cstheme="minorEastAsia"/>
          <w:b w:val="0"/>
          <w:sz w:val="28"/>
          <w:szCs w:val="28"/>
        </w:rPr>
        <w:t>4 检验</w:t>
      </w:r>
      <w:bookmarkEnd w:id="77"/>
      <w:bookmarkEnd w:id="78"/>
      <w:bookmarkEnd w:id="79"/>
      <w:bookmarkEnd w:id="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9850"/>
      <w:bookmarkStart w:id="82" w:name="_Toc16330022"/>
      <w:bookmarkStart w:id="83" w:name="_Toc11217"/>
      <w:bookmarkStart w:id="84" w:name="_Toc24467"/>
      <w:r>
        <w:rPr>
          <w:rFonts w:hint="eastAsia" w:ascii="黑体" w:hAnsi="黑体" w:eastAsia="黑体" w:cstheme="minorEastAsia"/>
          <w:b w:val="0"/>
          <w:sz w:val="28"/>
          <w:szCs w:val="28"/>
        </w:rPr>
        <w:t>5 权利担保</w:t>
      </w:r>
      <w:bookmarkEnd w:id="81"/>
      <w:bookmarkEnd w:id="82"/>
      <w:bookmarkEnd w:id="83"/>
      <w:bookmarkEnd w:id="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23"/>
      <w:bookmarkStart w:id="86" w:name="_Toc27500"/>
      <w:bookmarkStart w:id="87" w:name="_Toc11759"/>
      <w:bookmarkStart w:id="88" w:name="_Toc14809"/>
      <w:r>
        <w:rPr>
          <w:rFonts w:hint="eastAsia" w:ascii="黑体" w:hAnsi="黑体" w:eastAsia="黑体" w:cstheme="minorEastAsia"/>
          <w:b w:val="0"/>
          <w:sz w:val="28"/>
          <w:szCs w:val="28"/>
        </w:rPr>
        <w:t>6 交货</w:t>
      </w:r>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25510"/>
      <w:bookmarkStart w:id="90" w:name="_Toc8024"/>
      <w:bookmarkStart w:id="91" w:name="_Toc2984"/>
      <w:bookmarkStart w:id="92" w:name="_Toc16330024"/>
      <w:r>
        <w:rPr>
          <w:rFonts w:hint="eastAsia" w:ascii="黑体" w:hAnsi="黑体" w:eastAsia="黑体" w:cstheme="minorEastAsia"/>
          <w:b w:val="0"/>
          <w:sz w:val="28"/>
          <w:szCs w:val="28"/>
        </w:rPr>
        <w:t>7 安装、调试</w:t>
      </w:r>
      <w:bookmarkEnd w:id="89"/>
      <w:bookmarkEnd w:id="90"/>
      <w:bookmarkEnd w:id="91"/>
      <w:bookmarkEnd w:id="92"/>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6350"/>
      <w:bookmarkStart w:id="94" w:name="_Toc14098"/>
      <w:bookmarkStart w:id="95" w:name="_Toc14260"/>
      <w:bookmarkStart w:id="96" w:name="_Toc16330025"/>
      <w:r>
        <w:rPr>
          <w:rFonts w:hint="eastAsia" w:ascii="黑体" w:hAnsi="黑体" w:eastAsia="黑体" w:cstheme="minorEastAsia"/>
          <w:b w:val="0"/>
          <w:sz w:val="28"/>
          <w:szCs w:val="28"/>
        </w:rPr>
        <w:t>8 价款与支付</w:t>
      </w:r>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97" w:name="_Toc14676804"/>
      <w:bookmarkStart w:id="9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97"/>
      <w:bookmarkEnd w:id="98"/>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25708"/>
      <w:bookmarkStart w:id="100" w:name="_Toc16330026"/>
      <w:bookmarkStart w:id="101" w:name="_Toc24085"/>
      <w:bookmarkStart w:id="102" w:name="_Toc6726"/>
      <w:r>
        <w:rPr>
          <w:rFonts w:hint="eastAsia" w:ascii="黑体" w:hAnsi="黑体" w:eastAsia="黑体" w:cstheme="minorEastAsia"/>
          <w:b w:val="0"/>
          <w:sz w:val="28"/>
          <w:szCs w:val="28"/>
        </w:rPr>
        <w:t>9 质量保证及售后服务</w:t>
      </w:r>
      <w:bookmarkEnd w:id="99"/>
      <w:bookmarkEnd w:id="100"/>
      <w:bookmarkEnd w:id="101"/>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5570"/>
      <w:bookmarkStart w:id="104" w:name="_Toc12927"/>
      <w:bookmarkStart w:id="105" w:name="_Toc10359"/>
      <w:bookmarkStart w:id="106" w:name="_Toc16330027"/>
      <w:r>
        <w:rPr>
          <w:rFonts w:hint="eastAsia" w:ascii="黑体" w:hAnsi="黑体" w:eastAsia="黑体" w:cstheme="minorEastAsia"/>
          <w:b w:val="0"/>
          <w:sz w:val="28"/>
          <w:szCs w:val="28"/>
        </w:rPr>
        <w:t>10法定责任</w:t>
      </w:r>
      <w:bookmarkEnd w:id="103"/>
      <w:bookmarkEnd w:id="104"/>
      <w:bookmarkEnd w:id="105"/>
      <w:bookmarkEnd w:id="10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30381"/>
      <w:bookmarkStart w:id="108" w:name="_Toc27314"/>
      <w:bookmarkStart w:id="109" w:name="_Toc16330028"/>
      <w:bookmarkStart w:id="110" w:name="_Toc9708"/>
      <w:r>
        <w:rPr>
          <w:rFonts w:hint="eastAsia" w:ascii="黑体" w:hAnsi="黑体" w:eastAsia="黑体" w:cstheme="minorEastAsia"/>
          <w:b w:val="0"/>
          <w:sz w:val="28"/>
          <w:szCs w:val="28"/>
        </w:rPr>
        <w:t>11 违约责任</w:t>
      </w:r>
      <w:bookmarkEnd w:id="107"/>
      <w:bookmarkEnd w:id="108"/>
      <w:bookmarkEnd w:id="109"/>
      <w:bookmarkEnd w:id="11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w:t>
      </w:r>
      <w:r>
        <w:rPr>
          <w:rFonts w:hint="eastAsia" w:ascii="仿宋_GB2312" w:hAnsi="黑体" w:eastAsia="仿宋_GB2312" w:cstheme="minorEastAsia"/>
          <w:sz w:val="24"/>
          <w:szCs w:val="24"/>
          <w:lang w:val="en-US" w:eastAsia="zh-CN"/>
        </w:rPr>
        <w:t>按LPR的1.95倍进行测算，</w:t>
      </w:r>
      <w:r>
        <w:rPr>
          <w:rFonts w:hint="eastAsia" w:ascii="仿宋_GB2312" w:hAnsi="黑体" w:eastAsia="仿宋_GB2312" w:cstheme="minorEastAsia"/>
          <w:sz w:val="24"/>
          <w:szCs w:val="24"/>
        </w:rPr>
        <w:t>买方有权就卖方违约而随时解除本合同，且卖方仍须支付上述违约金，并赔偿由此给买方造成的一切损失。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11.4如卖方未按7.1条履行义务，卖方应向买方支付违约金，违约金</w:t>
      </w:r>
      <w:r>
        <w:rPr>
          <w:rFonts w:hint="eastAsia" w:ascii="仿宋_GB2312" w:hAnsi="黑体" w:eastAsia="仿宋_GB2312" w:cstheme="minorEastAsia"/>
          <w:sz w:val="24"/>
          <w:szCs w:val="24"/>
          <w:lang w:val="en-US" w:eastAsia="zh-CN"/>
        </w:rPr>
        <w:t>按LPR的1.95倍进行测算，</w:t>
      </w:r>
      <w:r>
        <w:rPr>
          <w:rFonts w:hint="eastAsia" w:ascii="仿宋_GB2312" w:hAnsi="黑体" w:eastAsia="仿宋_GB2312" w:cstheme="minorEastAsia"/>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11.5买方延期付款时（有正当拒付理由者除外），违约金</w:t>
      </w:r>
      <w:r>
        <w:rPr>
          <w:rFonts w:hint="eastAsia" w:ascii="仿宋_GB2312" w:hAnsi="黑体" w:eastAsia="仿宋_GB2312" w:cstheme="minorEastAsia"/>
          <w:sz w:val="24"/>
          <w:szCs w:val="24"/>
          <w:lang w:val="en-US" w:eastAsia="zh-CN"/>
        </w:rPr>
        <w:t>按LPR的1.95倍进行测算，</w:t>
      </w:r>
      <w:r>
        <w:rPr>
          <w:rFonts w:hint="eastAsia" w:ascii="仿宋_GB2312" w:hAnsi="黑体" w:eastAsia="仿宋_GB2312" w:cstheme="minorEastAsia"/>
          <w:sz w:val="24"/>
          <w:szCs w:val="24"/>
        </w:rPr>
        <w:t>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6330029"/>
      <w:bookmarkStart w:id="112" w:name="_Toc31554"/>
      <w:bookmarkStart w:id="113" w:name="_Toc1827"/>
      <w:bookmarkStart w:id="114" w:name="_Toc9172"/>
      <w:r>
        <w:rPr>
          <w:rFonts w:hint="eastAsia" w:ascii="黑体" w:hAnsi="黑体" w:eastAsia="黑体" w:cstheme="minorEastAsia"/>
          <w:b w:val="0"/>
          <w:sz w:val="28"/>
          <w:szCs w:val="28"/>
        </w:rPr>
        <w:t>12 合同的终止与解除</w:t>
      </w:r>
      <w:bookmarkEnd w:id="111"/>
      <w:bookmarkEnd w:id="112"/>
      <w:bookmarkEnd w:id="113"/>
      <w:bookmarkEnd w:id="11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31945"/>
      <w:bookmarkStart w:id="116" w:name="_Toc16330030"/>
      <w:bookmarkStart w:id="117" w:name="_Toc8620"/>
      <w:bookmarkStart w:id="118" w:name="_Toc13671"/>
      <w:r>
        <w:rPr>
          <w:rFonts w:hint="eastAsia" w:ascii="黑体" w:hAnsi="黑体" w:eastAsia="黑体" w:cstheme="minorEastAsia"/>
          <w:b w:val="0"/>
          <w:sz w:val="28"/>
          <w:szCs w:val="28"/>
        </w:rPr>
        <w:t>13 不可抗力</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9" w:name="_Toc31243"/>
      <w:bookmarkStart w:id="120" w:name="_Toc16330031"/>
      <w:bookmarkStart w:id="121" w:name="_Toc30389"/>
      <w:bookmarkStart w:id="122" w:name="_Toc637"/>
      <w:r>
        <w:rPr>
          <w:rFonts w:hint="eastAsia" w:ascii="黑体" w:hAnsi="黑体" w:eastAsia="黑体" w:cstheme="minorEastAsia"/>
          <w:b w:val="0"/>
          <w:sz w:val="28"/>
          <w:szCs w:val="28"/>
        </w:rPr>
        <w:t>14 通讯</w:t>
      </w:r>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240" w:beforeLines="100"/>
        <w:jc w:val="both"/>
        <w:rPr>
          <w:rFonts w:ascii="黑体" w:hAnsi="黑体" w:eastAsia="黑体" w:cstheme="minorEastAsia"/>
          <w:b w:val="0"/>
          <w:sz w:val="28"/>
          <w:szCs w:val="28"/>
        </w:rPr>
      </w:pPr>
      <w:bookmarkStart w:id="123" w:name="_Toc11290"/>
      <w:bookmarkStart w:id="124" w:name="_Toc9915"/>
      <w:bookmarkStart w:id="125" w:name="_Toc16330032"/>
      <w:bookmarkStart w:id="126" w:name="_Toc12984"/>
      <w:r>
        <w:rPr>
          <w:rFonts w:hint="eastAsia" w:ascii="黑体" w:hAnsi="黑体" w:eastAsia="黑体" w:cstheme="minorEastAsia"/>
          <w:b w:val="0"/>
          <w:sz w:val="28"/>
          <w:szCs w:val="28"/>
        </w:rPr>
        <w:t>15 适用法律及争议解决</w:t>
      </w:r>
      <w:bookmarkEnd w:id="123"/>
      <w:bookmarkEnd w:id="124"/>
      <w:bookmarkEnd w:id="125"/>
      <w:bookmarkEnd w:id="12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7" w:name="_Toc16330033"/>
      <w:bookmarkStart w:id="128" w:name="_Toc23906"/>
      <w:bookmarkStart w:id="129" w:name="_Toc18207"/>
      <w:bookmarkStart w:id="130" w:name="_Toc23765"/>
      <w:r>
        <w:rPr>
          <w:rFonts w:hint="eastAsia" w:ascii="黑体" w:hAnsi="黑体" w:eastAsia="黑体" w:cstheme="minorEastAsia"/>
          <w:b w:val="0"/>
          <w:sz w:val="28"/>
          <w:szCs w:val="28"/>
        </w:rPr>
        <w:t>16 附件</w:t>
      </w:r>
      <w:bookmarkEnd w:id="127"/>
      <w:bookmarkEnd w:id="128"/>
      <w:bookmarkEnd w:id="129"/>
      <w:bookmarkEnd w:id="13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1" w:name="_Toc16330034"/>
      <w:bookmarkStart w:id="132" w:name="_Toc31331"/>
      <w:bookmarkStart w:id="133" w:name="_Toc17656"/>
      <w:bookmarkStart w:id="134" w:name="_Toc27202"/>
      <w:r>
        <w:rPr>
          <w:rFonts w:hint="eastAsia" w:ascii="黑体" w:hAnsi="黑体" w:eastAsia="黑体" w:cstheme="minorEastAsia"/>
          <w:b w:val="0"/>
          <w:sz w:val="28"/>
          <w:szCs w:val="28"/>
        </w:rPr>
        <w:t>17 其他规定</w:t>
      </w:r>
      <w:bookmarkEnd w:id="131"/>
      <w:bookmarkEnd w:id="132"/>
      <w:bookmarkEnd w:id="133"/>
      <w:bookmarkEnd w:id="13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35" w:name="_Toc17952"/>
      <w:bookmarkStart w:id="136" w:name="_Toc16330035"/>
      <w:bookmarkStart w:id="137" w:name="_Toc19077"/>
      <w:bookmarkStart w:id="138"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35"/>
      <w:bookmarkEnd w:id="136"/>
      <w:bookmarkEnd w:id="137"/>
      <w:bookmarkEnd w:id="1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type="textWrapping"/>
      </w: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rPr>
          <w:sz w:val="24"/>
          <w:szCs w:val="24"/>
        </w:rPr>
      </w:pPr>
      <w:bookmarkStart w:id="139" w:name="_Toc28611"/>
      <w:bookmarkStart w:id="140" w:name="_Toc16330036"/>
      <w:bookmarkStart w:id="141" w:name="_Toc10272"/>
      <w:bookmarkStart w:id="142" w:name="_Toc15689"/>
    </w:p>
    <w:bookmarkEnd w:id="139"/>
    <w:bookmarkEnd w:id="140"/>
    <w:bookmarkEnd w:id="141"/>
    <w:bookmarkEnd w:id="142"/>
    <w:p>
      <w:pPr>
        <w:rPr>
          <w:sz w:val="24"/>
          <w:szCs w:val="24"/>
        </w:rPr>
      </w:pPr>
      <w:r>
        <w:rPr>
          <w:rFonts w:hint="eastAsia"/>
          <w:sz w:val="24"/>
          <w:szCs w:val="24"/>
        </w:rPr>
        <w:br w:type="page"/>
      </w:r>
    </w:p>
    <w:p>
      <w:pPr>
        <w:pStyle w:val="2"/>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pStyle w:val="2"/>
        <w:tabs>
          <w:tab w:val="right" w:leader="dot" w:pos="9061"/>
        </w:tabs>
        <w:ind w:left="0"/>
        <w:jc w:val="both"/>
        <w:rPr>
          <w:rFonts w:asciiTheme="minorEastAsia" w:hAnsiTheme="minorEastAsia" w:eastAsiaTheme="minorEastAsia" w:cstheme="minorEastAsia"/>
          <w:sz w:val="20"/>
        </w:rPr>
      </w:pPr>
      <w:bookmarkStart w:id="143" w:name="_Toc24623"/>
      <w:bookmarkStart w:id="144" w:name="_Toc25120"/>
      <w:bookmarkStart w:id="145" w:name="_Toc5379"/>
      <w:bookmarkStart w:id="146" w:name="_Toc16330037"/>
      <w:bookmarkStart w:id="147" w:name="_Toc3778"/>
    </w:p>
    <w:p>
      <w:pPr>
        <w:rPr>
          <w:rFonts w:asciiTheme="minorEastAsia" w:hAnsiTheme="minorEastAsia" w:eastAsiaTheme="minorEastAsia" w:cstheme="minorEastAsia"/>
          <w:sz w:val="20"/>
          <w:szCs w:val="20"/>
        </w:rPr>
      </w:pPr>
    </w:p>
    <w:p>
      <w:pPr>
        <w:pStyle w:val="2"/>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43"/>
      <w:bookmarkEnd w:id="144"/>
      <w:bookmarkEnd w:id="145"/>
      <w:bookmarkEnd w:id="146"/>
      <w:bookmarkEnd w:id="147"/>
      <w:r>
        <w:rPr>
          <w:rFonts w:hint="eastAsia" w:ascii="黑体" w:hAnsi="黑体" w:eastAsia="黑体" w:cstheme="minorEastAsia"/>
          <w:b w:val="0"/>
          <w:sz w:val="28"/>
          <w:szCs w:val="28"/>
        </w:rPr>
        <w:t>技术协议书</w:t>
      </w:r>
    </w:p>
    <w:p>
      <w:pPr>
        <w:pStyle w:val="4"/>
        <w:tabs>
          <w:tab w:val="right" w:leader="dot" w:pos="9061"/>
        </w:tabs>
        <w:rPr>
          <w:rFonts w:ascii="黑体" w:hAnsi="黑体" w:eastAsia="黑体" w:cstheme="minorEastAsia"/>
          <w:b w:val="0"/>
          <w:sz w:val="28"/>
          <w:szCs w:val="28"/>
        </w:rPr>
      </w:pPr>
    </w:p>
    <w:p>
      <w:pPr>
        <w:ind w:right="360"/>
        <w:rPr>
          <w:rFonts w:asciiTheme="minorEastAsia" w:hAnsiTheme="minorEastAsia" w:cstheme="minorEastAsia"/>
          <w:sz w:val="20"/>
          <w:szCs w:val="20"/>
        </w:rPr>
        <w:sectPr>
          <w:headerReference r:id="rId12" w:type="defaul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8"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8"/>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9" w:name="_Toc639004"/>
      <w:bookmarkStart w:id="150" w:name="_Toc212369550"/>
      <w:bookmarkStart w:id="151" w:name="_Toc25811"/>
      <w:bookmarkStart w:id="152"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9"/>
      <w:bookmarkEnd w:id="150"/>
      <w:bookmarkEnd w:id="151"/>
      <w:bookmarkEnd w:id="15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重汽（济南）轻卡有限公司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Times New Roman" w:hAnsi="Times New Roman" w:eastAsia="宋体" w:cs="Times New Roman"/>
          <w:color w:val="000000"/>
          <w:kern w:val="2"/>
          <w:sz w:val="24"/>
          <w:szCs w:val="24"/>
          <w:highlight w:val="none"/>
          <w:u w:val="none"/>
          <w:shd w:val="clear" w:color="auto" w:fill="auto"/>
          <w:lang w:val="en-US" w:eastAsia="zh-CN" w:bidi="ar-SA"/>
        </w:rPr>
        <w:t>灯检线设备项目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lang w:val="en-US" w:eastAsia="zh-CN"/>
        </w:rPr>
        <w:t>二</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灯检线设备项目</w:t>
      </w:r>
      <w:r>
        <w:rPr>
          <w:rFonts w:hint="eastAsia" w:ascii="宋体" w:hAnsi="宋体" w:eastAsia="宋体" w:cs="宋体"/>
          <w:b w:val="0"/>
          <w:bCs w:val="0"/>
          <w:color w:val="000000"/>
          <w:sz w:val="24"/>
          <w:szCs w:val="24"/>
          <w:highlight w:val="none"/>
          <w:u w:val="single"/>
          <w:shd w:val="clear" w:color="auto" w:fill="auto"/>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highlight w:val="none"/>
          <w:lang w:eastAsia="zh-CN"/>
        </w:rPr>
        <w:t>CGZX2023100279</w:t>
      </w:r>
      <w:r>
        <w:rPr>
          <w:rFonts w:hint="eastAsia" w:ascii="宋体" w:hAnsi="宋体" w:eastAsia="宋体" w:cs="Times New Roman"/>
          <w:color w:val="000000"/>
          <w:sz w:val="24"/>
          <w:szCs w:val="24"/>
          <w:highlight w:val="none"/>
        </w:rPr>
        <w:t>）现授</w:t>
      </w:r>
      <w:r>
        <w:rPr>
          <w:rFonts w:hint="eastAsia" w:ascii="宋体" w:hAnsi="宋体" w:eastAsia="宋体" w:cs="Times New Roman"/>
          <w:color w:val="000000"/>
          <w:sz w:val="24"/>
          <w:szCs w:val="24"/>
        </w:rPr>
        <w:t>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lang w:eastAsia="zh-CN"/>
        </w:rPr>
        <w:t>（</w:t>
      </w:r>
      <w:r>
        <w:rPr>
          <w:rFonts w:hint="eastAsia" w:ascii="宋体" w:hAnsi="宋体" w:eastAsia="宋体" w:cs="Times New Roman"/>
          <w:color w:val="000000"/>
          <w:sz w:val="24"/>
          <w:szCs w:val="24"/>
          <w:u w:val="single"/>
          <w:lang w:val="en-US" w:eastAsia="zh-CN"/>
        </w:rPr>
        <w:t>须为移动电话</w:t>
      </w:r>
      <w:r>
        <w:rPr>
          <w:rFonts w:hint="eastAsia" w:ascii="宋体" w:hAnsi="宋体" w:eastAsia="宋体" w:cs="Times New Roman"/>
          <w:color w:val="000000"/>
          <w:sz w:val="24"/>
          <w:szCs w:val="24"/>
          <w:u w:val="single"/>
          <w:lang w:eastAsia="zh-CN"/>
        </w:rPr>
        <w:t>）</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5"/>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7"/>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7"/>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7"/>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7"/>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7"/>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7"/>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14"/>
              <w:ind w:left="720"/>
            </w:pPr>
            <w:r>
              <w:t xml:space="preserve">品牌区分 </w:t>
            </w:r>
          </w:p>
        </w:tc>
        <w:tc>
          <w:tcPr>
            <w:tcW w:w="7500" w:type="dxa"/>
            <w:gridSpan w:val="6"/>
          </w:tcPr>
          <w:p>
            <w:pPr>
              <w:pStyle w:val="137"/>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7"/>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7"/>
              <w:spacing w:before="15"/>
              <w:ind w:left="279"/>
            </w:pPr>
            <w:r>
              <w:rPr>
                <w:spacing w:val="-2"/>
              </w:rPr>
              <w:t>质量</w:t>
            </w:r>
            <w:r>
              <w:t xml:space="preserve"> </w:t>
            </w:r>
          </w:p>
          <w:p>
            <w:pPr>
              <w:pStyle w:val="137"/>
              <w:spacing w:before="30" w:line="277" w:lineRule="exact"/>
              <w:ind w:left="279"/>
            </w:pPr>
            <w:r>
              <w:rPr>
                <w:rFonts w:hint="eastAsia"/>
              </w:rPr>
              <w:t>体系</w:t>
            </w:r>
          </w:p>
        </w:tc>
        <w:tc>
          <w:tcPr>
            <w:tcW w:w="2820" w:type="dxa"/>
            <w:gridSpan w:val="2"/>
          </w:tcPr>
          <w:p>
            <w:pPr>
              <w:pStyle w:val="137"/>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7"/>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shd w:val="clear" w:color="auto" w:fill="auto"/>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灯检线设备项目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无论是否中标、是否签署合同，对获得的招标人商业秘密（包括但不限于产品和/或装备的技术文件、汽车产品数模、数据</w:t>
      </w:r>
      <w:r>
        <w:rPr>
          <w:rFonts w:hint="eastAsia" w:ascii="宋体" w:hAnsi="宋体" w:eastAsia="宋体" w:cs="Times New Roman"/>
          <w:sz w:val="24"/>
          <w:szCs w:val="20"/>
          <w:u w:val="single"/>
          <w:lang w:eastAsia="zh-CN"/>
        </w:rPr>
        <w:t>、</w:t>
      </w:r>
      <w:r>
        <w:rPr>
          <w:rFonts w:hint="eastAsia" w:ascii="宋体" w:hAnsi="宋体" w:eastAsia="宋体" w:cs="Times New Roman"/>
          <w:sz w:val="24"/>
          <w:szCs w:val="20"/>
          <w:u w:val="single"/>
        </w:rPr>
        <w:t>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灯检线设备项目</w:t>
      </w:r>
      <w:r>
        <w:rPr>
          <w:rFonts w:ascii="宋体" w:hAnsi="宋体" w:eastAsia="宋体" w:cs="Times New Roman"/>
          <w:color w:val="000000"/>
          <w:sz w:val="24"/>
          <w:szCs w:val="24"/>
          <w:shd w:val="clear" w:color="auto" w:fill="auto"/>
        </w:rPr>
        <w:t xml:space="preserve">  </w:t>
      </w:r>
      <w:r>
        <w:rPr>
          <w:rFonts w:ascii="宋体" w:hAnsi="宋体" w:eastAsia="宋体" w:cs="Times New Roman"/>
          <w:color w:val="000000"/>
          <w:sz w:val="24"/>
          <w:szCs w:val="24"/>
        </w:rPr>
        <w:t xml:space="preserve">                                                         </w:t>
      </w:r>
    </w:p>
    <w:tbl>
      <w:tblPr>
        <w:tblStyle w:val="38"/>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Times New Roman"/>
          <w:sz w:val="24"/>
          <w:szCs w:val="20"/>
          <w:lang w:eastAsia="zh-CN"/>
        </w:rPr>
      </w:pPr>
      <w:r>
        <w:rPr>
          <w:rFonts w:hint="eastAsia" w:ascii="宋体" w:hAnsi="宋体" w:eastAsia="宋体" w:cs="Times New Roman"/>
          <w:sz w:val="24"/>
          <w:szCs w:val="20"/>
        </w:rPr>
        <w:t>法定代表人（委托代理人）：（签字</w:t>
      </w:r>
      <w:r>
        <w:rPr>
          <w:rFonts w:hint="eastAsia" w:ascii="宋体" w:hAnsi="宋体" w:eastAsia="宋体" w:cs="Times New Roman"/>
          <w:sz w:val="24"/>
          <w:szCs w:val="20"/>
          <w:lang w:eastAsia="zh-CN"/>
        </w:rPr>
        <w:t>）</w:t>
      </w:r>
    </w:p>
    <w:p>
      <w:pPr>
        <w:pStyle w:val="24"/>
        <w:rPr>
          <w:rFonts w:hint="eastAsia" w:ascii="宋体" w:hAnsi="宋体" w:eastAsia="宋体" w:cs="Times New Roman"/>
          <w:sz w:val="24"/>
          <w:szCs w:val="20"/>
          <w:lang w:eastAsia="zh-CN"/>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lang w:val="en-US" w:eastAsia="zh-CN"/>
        </w:rPr>
        <w:sectPr>
          <w:footerReference r:id="rId21" w:type="first"/>
          <w:footerReference r:id="rId20"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eastAsia="zh-CN"/>
        </w:rPr>
        <w:t>2020年1月1日</w:t>
      </w:r>
      <w:r>
        <w:rPr>
          <w:rFonts w:hint="eastAsia" w:ascii="Times New Roman" w:hAnsi="Times New Roman" w:eastAsia="宋体" w:cs="Times New Roman"/>
          <w:b/>
          <w:bCs/>
          <w:color w:val="000000"/>
          <w:sz w:val="24"/>
          <w:szCs w:val="24"/>
        </w:rPr>
        <w:t>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灯检线设备项目</w:t>
      </w:r>
      <w:r>
        <w:rPr>
          <w:rFonts w:ascii="宋体" w:hAnsi="宋体" w:eastAsia="宋体" w:cs="Times New Roman"/>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red"/>
                <w:lang w:eastAsia="zh-CN"/>
              </w:rPr>
              <w:t>2020年1月1日</w:t>
            </w:r>
            <w:r>
              <w:rPr>
                <w:rFonts w:ascii="宋体" w:hAnsi="宋体" w:eastAsia="宋体" w:cs="宋体"/>
                <w:sz w:val="24"/>
                <w:szCs w:val="24"/>
                <w:highlight w:val="red"/>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w:t>
      </w:r>
      <w:r>
        <w:rPr>
          <w:rFonts w:hint="eastAsia" w:ascii="宋体" w:hAnsi="宋体" w:eastAsia="宋体" w:cs="宋体"/>
          <w:kern w:val="0"/>
          <w:sz w:val="24"/>
          <w:szCs w:val="20"/>
          <w:lang w:eastAsia="zh-CN"/>
        </w:rPr>
        <w:t>2020年1月1日</w:t>
      </w:r>
      <w:r>
        <w:rPr>
          <w:rFonts w:hint="eastAsia" w:ascii="宋体" w:hAnsi="宋体" w:eastAsia="宋体" w:cs="宋体"/>
          <w:kern w:val="0"/>
          <w:sz w:val="24"/>
          <w:szCs w:val="20"/>
        </w:rPr>
        <w:t>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default" w:ascii="宋体" w:hAnsi="宋体" w:eastAsia="宋体" w:cs="Times New Roman"/>
          <w:sz w:val="24"/>
          <w:szCs w:val="20"/>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lang w:val="en-US" w:eastAsia="zh-CN"/>
        </w:rPr>
        <w:t>灯检线设备项目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lang w:val="en-US" w:eastAsia="zh-CN"/>
        </w:rPr>
        <w:t>灯检线设备项目</w:t>
      </w:r>
      <w:r>
        <w:rPr>
          <w:rFonts w:ascii="宋体" w:hAnsi="宋体" w:eastAsia="宋体" w:cs="Times New Roman"/>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p>
        </w:tc>
        <w:tc>
          <w:tcPr>
            <w:tcW w:w="848" w:type="dxa"/>
            <w:vAlign w:val="center"/>
          </w:tcPr>
          <w:p>
            <w:pPr>
              <w:jc w:val="center"/>
              <w:rPr>
                <w:rFonts w:hint="default" w:ascii="Times New Roman" w:hAnsi="Times New Roman" w:eastAsia="宋体" w:cs="Times New Roman"/>
                <w:b/>
                <w:szCs w:val="20"/>
                <w:lang w:val="en-US" w:eastAsia="zh-CN"/>
              </w:rPr>
            </w:pPr>
          </w:p>
        </w:tc>
        <w:tc>
          <w:tcPr>
            <w:tcW w:w="2270" w:type="dxa"/>
            <w:vAlign w:val="center"/>
          </w:tcPr>
          <w:p>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p>
          <w:p>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3043" w:type="dxa"/>
            <w:gridSpan w:val="3"/>
            <w:vAlign w:val="center"/>
          </w:tcPr>
          <w:p>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rPr>
              <w:t>投标总价</w:t>
            </w:r>
            <w:r>
              <w:rPr>
                <w:rFonts w:hint="eastAsia" w:ascii="等线" w:hAnsi="等线" w:eastAsia="等线" w:cs="Times New Roman"/>
                <w:b/>
                <w:szCs w:val="20"/>
              </w:rPr>
              <w:t>（元，含税）大写</w:t>
            </w:r>
          </w:p>
        </w:tc>
        <w:tc>
          <w:tcPr>
            <w:tcW w:w="6017" w:type="dxa"/>
            <w:gridSpan w:val="5"/>
            <w:vAlign w:val="center"/>
          </w:tcPr>
          <w:p>
            <w:pPr>
              <w:jc w:val="center"/>
              <w:rPr>
                <w:rFonts w:ascii="Times New Roman" w:hAnsi="Times New Roman" w:eastAsia="宋体" w:cs="Times New Roman"/>
                <w:b/>
                <w:szCs w:val="20"/>
              </w:rPr>
            </w:pPr>
          </w:p>
        </w:tc>
      </w:tr>
    </w:tbl>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520" w:lineRule="exact"/>
        <w:rPr>
          <w:rFonts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ascii="宋体" w:hAnsi="宋体" w:eastAsia="宋体" w:cs="Times New Roman"/>
          <w:b/>
          <w:bCs/>
          <w:szCs w:val="21"/>
          <w:highlight w:val="yellow"/>
          <w:lang w:val="en-US" w:eastAsia="zh-CN"/>
        </w:rPr>
      </w:pPr>
      <w:r>
        <w:rPr>
          <w:rFonts w:hint="eastAsia" w:ascii="宋体" w:hAnsi="宋体" w:eastAsia="宋体" w:cs="Times New Roman"/>
          <w:b/>
          <w:bCs/>
          <w:szCs w:val="21"/>
          <w:highlight w:val="yellow"/>
          <w:lang w:val="en-US" w:eastAsia="zh-CN"/>
        </w:rPr>
        <w:t>5.投标总价包括全部（全新）产品价、表面处理费用、运杂费（包括现场卸车费）、设计、制造、安装、调试（含现场调试）、包装运输费、验收、技术及售后服务费、技术资料费、备品备件费等所有费用的总和。</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5"/>
        <w:tblW w:w="133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606"/>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jc w:val="center"/>
        </w:trPr>
        <w:tc>
          <w:tcPr>
            <w:tcW w:w="710" w:type="dxa"/>
          </w:tcPr>
          <w:p>
            <w:pPr>
              <w:autoSpaceDE w:val="0"/>
              <w:autoSpaceDN w:val="0"/>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606" w:type="dxa"/>
          </w:tcPr>
          <w:p>
            <w:pPr>
              <w:autoSpaceDE w:val="0"/>
              <w:autoSpaceDN w:val="0"/>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autoSpaceDE w:val="0"/>
              <w:autoSpaceDN w:val="0"/>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autoSpaceDE w:val="0"/>
              <w:autoSpaceDN w:val="0"/>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pPr>
              <w:autoSpaceDE w:val="0"/>
              <w:autoSpaceDN w:val="0"/>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pPr>
              <w:autoSpaceDE w:val="0"/>
              <w:autoSpaceDN w:val="0"/>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pPr>
              <w:autoSpaceDE w:val="0"/>
              <w:autoSpaceDN w:val="0"/>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pPr>
              <w:autoSpaceDE w:val="0"/>
              <w:autoSpaceDN w:val="0"/>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71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606"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autoSpaceDE w:val="0"/>
              <w:autoSpaceDN w:val="0"/>
              <w:spacing w:before="0" w:line="221" w:lineRule="auto"/>
              <w:ind w:left="0" w:right="0" w:firstLine="0"/>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w:t>
            </w:r>
          </w:p>
        </w:tc>
        <w:tc>
          <w:tcPr>
            <w:tcW w:w="2519" w:type="dxa"/>
            <w:tcBorders>
              <w:right w:val="single" w:color="000000" w:sz="4" w:space="0"/>
            </w:tcBorders>
            <w:vAlign w:val="center"/>
          </w:tcPr>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autoSpaceDE w:val="0"/>
              <w:autoSpaceDN w:val="0"/>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autoSpaceDE w:val="0"/>
              <w:autoSpaceDN w:val="0"/>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710" w:type="dxa"/>
            <w:vAlign w:val="top"/>
          </w:tcPr>
          <w:p>
            <w:pPr>
              <w:autoSpaceDE w:val="0"/>
              <w:autoSpaceDN w:val="0"/>
              <w:adjustRightInd w:val="0"/>
              <w:spacing w:before="114" w:line="182" w:lineRule="auto"/>
              <w:ind w:left="293" w:leftChars="0"/>
              <w:jc w:val="left"/>
              <w:rPr>
                <w:rFonts w:hint="default" w:ascii="宋体" w:hAnsi="宋体" w:eastAsia="宋体" w:cs="宋体"/>
                <w:szCs w:val="21"/>
                <w:lang w:val="en-US" w:eastAsia="zh-CN"/>
              </w:rPr>
            </w:pPr>
          </w:p>
        </w:tc>
        <w:tc>
          <w:tcPr>
            <w:tcW w:w="1606" w:type="dxa"/>
            <w:vAlign w:val="center"/>
          </w:tcPr>
          <w:p>
            <w:pPr>
              <w:autoSpaceDE w:val="0"/>
              <w:autoSpaceDN w:val="0"/>
              <w:spacing w:line="360" w:lineRule="exact"/>
              <w:jc w:val="center"/>
              <w:rPr>
                <w:rFonts w:ascii="Arial"/>
              </w:rPr>
            </w:pPr>
          </w:p>
        </w:tc>
        <w:tc>
          <w:tcPr>
            <w:tcW w:w="2239" w:type="dxa"/>
            <w:vAlign w:val="top"/>
          </w:tcPr>
          <w:p>
            <w:pPr>
              <w:autoSpaceDE w:val="0"/>
              <w:autoSpaceDN w:val="0"/>
              <w:rPr>
                <w:rFonts w:ascii="Arial"/>
              </w:rPr>
            </w:pPr>
          </w:p>
        </w:tc>
        <w:tc>
          <w:tcPr>
            <w:tcW w:w="1120" w:type="dxa"/>
            <w:vAlign w:val="center"/>
          </w:tcPr>
          <w:p>
            <w:pPr>
              <w:autoSpaceDE w:val="0"/>
              <w:autoSpaceDN w:val="0"/>
              <w:spacing w:line="360" w:lineRule="exact"/>
              <w:jc w:val="center"/>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10" w:type="dxa"/>
          </w:tcPr>
          <w:p>
            <w:pPr>
              <w:autoSpaceDE w:val="0"/>
              <w:autoSpaceDN w:val="0"/>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1606" w:type="dxa"/>
          </w:tcPr>
          <w:p>
            <w:pPr>
              <w:autoSpaceDE w:val="0"/>
              <w:autoSpaceDN w:val="0"/>
              <w:rPr>
                <w:rFonts w:ascii="Arial"/>
              </w:rPr>
            </w:pPr>
            <w:r>
              <w:rPr>
                <w:rFonts w:hint="eastAsia" w:ascii="宋体" w:hAnsi="宋体" w:eastAsia="宋体" w:cs="宋体"/>
              </w:rPr>
              <w:t>以上投标设备不足之处请往下添加序号自行补充</w:t>
            </w:r>
          </w:p>
        </w:tc>
        <w:tc>
          <w:tcPr>
            <w:tcW w:w="2239" w:type="dxa"/>
          </w:tcPr>
          <w:p>
            <w:pPr>
              <w:autoSpaceDE w:val="0"/>
              <w:autoSpaceDN w:val="0"/>
              <w:rPr>
                <w:rFonts w:ascii="Arial"/>
              </w:rPr>
            </w:pPr>
          </w:p>
        </w:tc>
        <w:tc>
          <w:tcPr>
            <w:tcW w:w="1120" w:type="dxa"/>
          </w:tcPr>
          <w:p>
            <w:pPr>
              <w:autoSpaceDE w:val="0"/>
              <w:autoSpaceDN w:val="0"/>
              <w:rPr>
                <w:rFonts w:ascii="Arial"/>
              </w:rPr>
            </w:pPr>
          </w:p>
        </w:tc>
        <w:tc>
          <w:tcPr>
            <w:tcW w:w="1682" w:type="dxa"/>
          </w:tcPr>
          <w:p>
            <w:pPr>
              <w:autoSpaceDE w:val="0"/>
              <w:autoSpaceDN w:val="0"/>
              <w:rPr>
                <w:rFonts w:ascii="Arial"/>
              </w:rPr>
            </w:pPr>
          </w:p>
        </w:tc>
        <w:tc>
          <w:tcPr>
            <w:tcW w:w="2519" w:type="dxa"/>
            <w:tcBorders>
              <w:right w:val="single" w:color="000000" w:sz="4" w:space="0"/>
            </w:tcBorders>
          </w:tcPr>
          <w:p>
            <w:pPr>
              <w:autoSpaceDE w:val="0"/>
              <w:autoSpaceDN w:val="0"/>
              <w:rPr>
                <w:rFonts w:ascii="Arial"/>
              </w:rPr>
            </w:pP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9876"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autoSpaceDE w:val="0"/>
              <w:autoSpaceDN w:val="0"/>
              <w:rPr>
                <w:rFonts w:ascii="Arial"/>
              </w:rPr>
            </w:pPr>
          </w:p>
        </w:tc>
        <w:tc>
          <w:tcPr>
            <w:tcW w:w="1069" w:type="dxa"/>
          </w:tcPr>
          <w:p>
            <w:pPr>
              <w:autoSpaceDE w:val="0"/>
              <w:autoSpaceDN w:val="0"/>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lang w:val="en-US" w:eastAsia="zh-CN"/>
        </w:rPr>
        <w:t>6</w:t>
      </w:r>
      <w:r>
        <w:rPr>
          <w:rFonts w:hint="eastAsia" w:ascii="宋体" w:hAnsi="宋体" w:eastAsia="宋体" w:cs="宋体"/>
          <w:spacing w:val="-6"/>
          <w:szCs w:val="21"/>
        </w:rPr>
        <w:t>.因填写不规范造成废标及终止招标的，责任由投标人自负。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4" w:type="default"/>
          <w:pgSz w:w="16841" w:h="11907" w:orient="landscape"/>
          <w:pgMar w:top="400" w:right="1387" w:bottom="1168" w:left="1473" w:header="0" w:footer="990" w:gutter="0"/>
          <w:pgBorders>
            <w:top w:val="none" w:sz="0" w:space="0"/>
            <w:left w:val="none" w:sz="0" w:space="0"/>
            <w:bottom w:val="none" w:sz="0" w:space="0"/>
            <w:right w:val="none" w:sz="0" w:space="0"/>
          </w:pgBorders>
          <w:pgNumType w:fmt="decimal"/>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pgNumType w:fmt="decimal"/>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tcBorders>
              <w:tl2br w:val="nil"/>
              <w:tr2bl w:val="nil"/>
            </w:tcBorders>
            <w:vAlign w:val="top"/>
          </w:tcPr>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tcBorders>
              <w:tl2br w:val="nil"/>
              <w:tr2bl w:val="nil"/>
            </w:tcBorders>
            <w:vAlign w:val="top"/>
          </w:tcPr>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Borders>
              <w:tl2br w:val="nil"/>
              <w:tr2bl w:val="nil"/>
            </w:tcBorders>
            <w:vAlign w:val="top"/>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18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596" w:type="dxa"/>
            <w:tcBorders>
              <w:tl2br w:val="nil"/>
              <w:tr2bl w:val="nil"/>
            </w:tcBorders>
            <w:vAlign w:val="top"/>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64" w:type="dxa"/>
            <w:tcBorders>
              <w:tl2br w:val="nil"/>
              <w:tr2bl w:val="nil"/>
            </w:tcBorders>
            <w:vAlign w:val="top"/>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Borders>
              <w:tl2br w:val="nil"/>
              <w:tr2bl w:val="nil"/>
            </w:tcBorders>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restart"/>
            <w:tcBorders>
              <w:tl2br w:val="nil"/>
              <w:tr2bl w:val="nil"/>
            </w:tcBorders>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Borders>
              <w:tl2br w:val="nil"/>
              <w:tr2bl w:val="nil"/>
            </w:tcBorders>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Borders>
              <w:tl2br w:val="nil"/>
              <w:tr2bl w:val="nil"/>
            </w:tcBorders>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vMerge w:val="continue"/>
            <w:tcBorders>
              <w:tl2br w:val="nil"/>
              <w:tr2bl w:val="nil"/>
            </w:tcBorders>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Borders>
              <w:tl2br w:val="nil"/>
              <w:tr2bl w:val="nil"/>
            </w:tcBorders>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Borders>
              <w:tl2br w:val="nil"/>
              <w:tr2bl w:val="nil"/>
            </w:tcBorders>
            <w:vAlign w:val="top"/>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Borders>
              <w:tl2br w:val="nil"/>
              <w:tr2bl w:val="nil"/>
            </w:tcBorders>
            <w:vAlign w:val="top"/>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Borders>
              <w:tl2br w:val="nil"/>
              <w:tr2bl w:val="nil"/>
            </w:tcBorders>
            <w:vAlign w:val="top"/>
          </w:tcPr>
          <w:p>
            <w:pPr>
              <w:rPr>
                <w:rFonts w:ascii="Arial"/>
              </w:rPr>
            </w:pPr>
          </w:p>
        </w:tc>
        <w:tc>
          <w:tcPr>
            <w:tcW w:w="2186" w:type="dxa"/>
            <w:tcBorders>
              <w:tl2br w:val="nil"/>
              <w:tr2bl w:val="nil"/>
            </w:tcBorders>
            <w:vAlign w:val="top"/>
          </w:tcPr>
          <w:p>
            <w:pPr>
              <w:rPr>
                <w:rFonts w:ascii="Arial"/>
              </w:rPr>
            </w:pPr>
          </w:p>
        </w:tc>
        <w:tc>
          <w:tcPr>
            <w:tcW w:w="2596" w:type="dxa"/>
            <w:tcBorders>
              <w:tl2br w:val="nil"/>
              <w:tr2bl w:val="nil"/>
            </w:tcBorders>
            <w:vAlign w:val="top"/>
          </w:tcPr>
          <w:p>
            <w:pPr>
              <w:rPr>
                <w:rFonts w:ascii="Arial"/>
              </w:rPr>
            </w:pPr>
          </w:p>
        </w:tc>
        <w:tc>
          <w:tcPr>
            <w:tcW w:w="2164" w:type="dxa"/>
            <w:tcBorders>
              <w:tl2br w:val="nil"/>
              <w:tr2bl w:val="nil"/>
            </w:tcBorders>
            <w:vAlign w:val="top"/>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Borders>
              <w:tl2br w:val="nil"/>
              <w:tr2bl w:val="nil"/>
            </w:tcBorders>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Borders>
              <w:tl2br w:val="nil"/>
              <w:tr2bl w:val="nil"/>
            </w:tcBorders>
            <w:vAlign w:val="top"/>
          </w:tcPr>
          <w:p>
            <w:pPr>
              <w:spacing w:before="211" w:line="219" w:lineRule="auto"/>
              <w:ind w:firstLine="211" w:firstLineChars="100"/>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5"/>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详细说明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现场指导安装费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现场指导调试、</w:t>
            </w:r>
            <w:r>
              <w:rPr>
                <w:rFonts w:ascii="宋体" w:hAnsi="宋体" w:eastAsia="宋体" w:cs="宋体"/>
                <w:szCs w:val="21"/>
              </w:rPr>
              <w:t>试车</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3625" w:type="dxa"/>
            <w:vAlign w:val="center"/>
          </w:tcPr>
          <w:p>
            <w:pPr>
              <w:spacing w:before="266" w:line="221" w:lineRule="auto"/>
              <w:jc w:val="center"/>
              <w:rPr>
                <w:rFonts w:hint="eastAsia" w:ascii="宋体" w:hAnsi="宋体" w:eastAsia="宋体" w:cs="宋体"/>
                <w:kern w:val="2"/>
                <w:sz w:val="21"/>
                <w:szCs w:val="21"/>
                <w:lang w:val="en-US" w:eastAsia="zh-CN" w:bidi="ar-SA"/>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hint="eastAsia" w:ascii="宋体" w:hAnsi="宋体" w:eastAsia="宋体" w:cs="宋体"/>
                <w:spacing w:val="-2"/>
                <w:kern w:val="2"/>
                <w:sz w:val="21"/>
                <w:szCs w:val="21"/>
                <w:lang w:val="en-US" w:eastAsia="zh-CN" w:bidi="ar-SA"/>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3625" w:type="dxa"/>
            <w:vAlign w:val="center"/>
          </w:tcPr>
          <w:p>
            <w:pPr>
              <w:spacing w:before="268" w:line="221" w:lineRule="auto"/>
              <w:jc w:val="center"/>
              <w:rPr>
                <w:rFonts w:hint="eastAsia" w:ascii="宋体" w:hAnsi="宋体" w:eastAsia="宋体" w:cs="宋体"/>
                <w:kern w:val="2"/>
                <w:sz w:val="21"/>
                <w:szCs w:val="21"/>
                <w:lang w:val="en-US" w:eastAsia="zh-CN" w:bidi="ar-SA"/>
              </w:rPr>
            </w:pPr>
            <w:r>
              <w:rPr>
                <w:rFonts w:hint="eastAsia" w:ascii="宋体" w:hAnsi="宋体" w:eastAsia="宋体" w:cs="宋体"/>
                <w:spacing w:val="15"/>
                <w:szCs w:val="21"/>
                <w:lang w:val="en-US" w:eastAsia="zh-CN"/>
              </w:rPr>
              <w:t>设计费</w:t>
            </w:r>
          </w:p>
        </w:tc>
        <w:tc>
          <w:tcPr>
            <w:tcW w:w="1126" w:type="dxa"/>
            <w:vAlign w:val="top"/>
          </w:tcPr>
          <w:p>
            <w:pPr>
              <w:spacing w:before="266" w:line="221" w:lineRule="auto"/>
              <w:jc w:val="center"/>
              <w:rPr>
                <w:rFonts w:hint="default" w:ascii="宋体" w:hAnsi="宋体" w:eastAsia="宋体" w:cs="宋体"/>
                <w:spacing w:val="-2"/>
                <w:kern w:val="2"/>
                <w:sz w:val="21"/>
                <w:szCs w:val="21"/>
                <w:lang w:val="en-US" w:eastAsia="zh-CN" w:bidi="ar-SA"/>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362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12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138" w:type="dxa"/>
            <w:vAlign w:val="center"/>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pgBorders>
            <w:top w:val="none" w:sz="0" w:space="0"/>
            <w:left w:val="none" w:sz="0" w:space="0"/>
            <w:bottom w:val="none" w:sz="0" w:space="0"/>
            <w:right w:val="none" w:sz="0" w:space="0"/>
          </w:pgBorders>
          <w:pgNumType w:fmt="decimal"/>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5"/>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序号</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before="0" w:line="221" w:lineRule="auto"/>
              <w:ind w:left="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5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2133"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11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1</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2</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3</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4</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5</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其它(列出明细)</w:t>
            </w:r>
          </w:p>
        </w:tc>
        <w:tc>
          <w:tcPr>
            <w:tcW w:w="1616" w:type="dxa"/>
          </w:tcPr>
          <w:p>
            <w:pPr>
              <w:rPr>
                <w:rFonts w:ascii="Arial"/>
              </w:rPr>
            </w:pPr>
          </w:p>
        </w:tc>
        <w:tc>
          <w:tcPr>
            <w:tcW w:w="1500" w:type="dxa"/>
            <w:vAlign w:val="center"/>
          </w:tcPr>
          <w:p>
            <w:pPr>
              <w:rPr>
                <w:rFonts w:ascii="Arial"/>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pacing w:val="-1"/>
                <w:sz w:val="21"/>
                <w:szCs w:val="21"/>
                <w:lang w:val="en-US" w:eastAsia="zh-CN"/>
              </w:rPr>
            </w:pPr>
          </w:p>
        </w:tc>
        <w:tc>
          <w:tcPr>
            <w:tcW w:w="1584" w:type="dxa"/>
          </w:tcPr>
          <w:p>
            <w:pPr>
              <w:rPr>
                <w:rFonts w:ascii="Arial"/>
              </w:rPr>
            </w:pPr>
          </w:p>
        </w:tc>
        <w:tc>
          <w:tcPr>
            <w:tcW w:w="1483" w:type="dxa"/>
          </w:tcPr>
          <w:p>
            <w:pPr>
              <w:rPr>
                <w:rFonts w:ascii="Arial"/>
              </w:rPr>
            </w:pPr>
          </w:p>
        </w:tc>
        <w:tc>
          <w:tcPr>
            <w:tcW w:w="2133" w:type="dxa"/>
          </w:tcPr>
          <w:p>
            <w:pPr>
              <w:rPr>
                <w:rFonts w:ascii="Arial"/>
              </w:rPr>
            </w:pPr>
          </w:p>
        </w:tc>
        <w:tc>
          <w:tcPr>
            <w:tcW w:w="1117" w:type="dxa"/>
          </w:tcPr>
          <w:p>
            <w:pPr>
              <w:rPr>
                <w:rFonts w:ascii="Arial"/>
              </w:rPr>
            </w:pPr>
          </w:p>
        </w:tc>
        <w:tc>
          <w:tcPr>
            <w:tcW w:w="1617"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ascii="宋体" w:hAnsi="宋体" w:eastAsia="宋体" w:cs="宋体"/>
                <w:spacing w:val="-6"/>
                <w:szCs w:val="21"/>
              </w:rPr>
            </w:pPr>
          </w:p>
        </w:tc>
        <w:tc>
          <w:tcPr>
            <w:tcW w:w="4867"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pgBorders>
            <w:top w:val="none" w:sz="0" w:space="0"/>
            <w:left w:val="none" w:sz="0" w:space="0"/>
            <w:bottom w:val="none" w:sz="0" w:space="0"/>
            <w:right w:val="none" w:sz="0" w:space="0"/>
          </w:pgBorders>
          <w:pgNumType w:fmt="decimal"/>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5"/>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容</w:t>
            </w:r>
          </w:p>
        </w:tc>
        <w:tc>
          <w:tcPr>
            <w:tcW w:w="3354" w:type="dxa"/>
          </w:tcPr>
          <w:p>
            <w:pPr>
              <w:spacing w:before="276" w:line="219" w:lineRule="auto"/>
              <w:jc w:val="center"/>
              <w:rPr>
                <w:rFonts w:ascii="宋体" w:hAnsi="宋体" w:eastAsia="宋体" w:cs="宋体"/>
                <w:szCs w:val="21"/>
              </w:rPr>
            </w:pPr>
            <w:r>
              <w:rPr>
                <w:rFonts w:hint="eastAsia" w:ascii="宋体" w:hAnsi="宋体" w:eastAsia="宋体" w:cs="宋体"/>
                <w:spacing w:val="18"/>
                <w:szCs w:val="21"/>
                <w:lang w:val="en-US" w:eastAsia="zh-CN"/>
              </w:rPr>
              <w:t>合计</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未</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pgBorders>
            <w:top w:val="none" w:sz="0" w:space="0"/>
            <w:left w:val="none" w:sz="0" w:space="0"/>
            <w:bottom w:val="none" w:sz="0" w:space="0"/>
            <w:right w:val="none" w:sz="0" w:space="0"/>
          </w:pgBorders>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lang w:val="en-US" w:eastAsia="zh-CN"/>
        </w:rPr>
        <w:t>灯检线设备项目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5"/>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灯检线设备项目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重汽（济南）轻卡有限公司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szCs w:val="20"/>
                <w:lang w:val="en-US" w:eastAsia="zh-CN"/>
              </w:rPr>
              <w:t>灯检线设备项目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rPr>
          <w:rFonts w:asciiTheme="minorEastAsia" w:hAnsiTheme="minorEastAsia" w:cstheme="minorEastAsia"/>
          <w:sz w:val="20"/>
          <w:szCs w:val="20"/>
        </w:rPr>
      </w:pPr>
      <w:r>
        <w:rPr>
          <w:rFonts w:asciiTheme="minorEastAsia" w:hAnsiTheme="minorEastAsia" w:cstheme="minorEastAsia"/>
          <w:sz w:val="20"/>
          <w:szCs w:val="20"/>
        </w:rPr>
        <w:br w:type="page"/>
      </w:r>
    </w:p>
    <w:p>
      <w:pPr>
        <w:pStyle w:val="12"/>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附件14技术标评分标准</w:t>
      </w:r>
    </w:p>
    <w:p>
      <w:pPr>
        <w:jc w:val="center"/>
        <w:outlineLvl w:val="2"/>
        <w:rPr>
          <w:rFonts w:ascii="宋体" w:hAnsi="宋体" w:eastAsia="宋体"/>
          <w:b/>
          <w:bCs/>
          <w:sz w:val="28"/>
          <w:szCs w:val="28"/>
        </w:rPr>
      </w:pPr>
      <w:r>
        <w:rPr>
          <w:rFonts w:hint="eastAsia" w:ascii="宋体" w:hAnsi="宋体" w:eastAsia="宋体"/>
          <w:b/>
          <w:bCs/>
          <w:sz w:val="28"/>
          <w:szCs w:val="28"/>
        </w:rPr>
        <w:t>技术标评审表（100分）</w:t>
      </w:r>
    </w:p>
    <w:tbl>
      <w:tblPr>
        <w:tblStyle w:val="38"/>
        <w:tblW w:w="14129" w:type="dxa"/>
        <w:tblInd w:w="93" w:type="dxa"/>
        <w:tblLayout w:type="autofit"/>
        <w:tblCellMar>
          <w:top w:w="0" w:type="dxa"/>
          <w:left w:w="108" w:type="dxa"/>
          <w:bottom w:w="0" w:type="dxa"/>
          <w:right w:w="108" w:type="dxa"/>
        </w:tblCellMar>
      </w:tblPr>
      <w:tblGrid>
        <w:gridCol w:w="812"/>
        <w:gridCol w:w="650"/>
        <w:gridCol w:w="1961"/>
        <w:gridCol w:w="885"/>
        <w:gridCol w:w="9821"/>
      </w:tblGrid>
      <w:tr>
        <w:tblPrEx>
          <w:tblCellMar>
            <w:top w:w="0" w:type="dxa"/>
            <w:left w:w="108" w:type="dxa"/>
            <w:bottom w:w="0" w:type="dxa"/>
            <w:right w:w="108" w:type="dxa"/>
          </w:tblCellMar>
        </w:tblPrEx>
        <w:trPr>
          <w:trHeight w:val="329" w:hRule="atLeast"/>
        </w:trPr>
        <w:tc>
          <w:tcPr>
            <w:tcW w:w="812" w:type="dxa"/>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评价类型</w:t>
            </w:r>
          </w:p>
        </w:tc>
        <w:tc>
          <w:tcPr>
            <w:tcW w:w="650"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序号</w:t>
            </w:r>
          </w:p>
        </w:tc>
        <w:tc>
          <w:tcPr>
            <w:tcW w:w="1961"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spacing w:val="315"/>
                <w:kern w:val="0"/>
                <w:fitText w:val="1050" w:id="2058751306"/>
                <w:lang w:bidi="ar"/>
              </w:rPr>
              <w:t>内</w:t>
            </w:r>
            <w:r>
              <w:rPr>
                <w:rStyle w:val="140"/>
                <w:rFonts w:hint="default"/>
                <w:spacing w:val="0"/>
                <w:kern w:val="0"/>
                <w:fitText w:val="1050" w:id="2058751306"/>
                <w:lang w:bidi="ar"/>
              </w:rPr>
              <w:t>容</w:t>
            </w:r>
          </w:p>
        </w:tc>
        <w:tc>
          <w:tcPr>
            <w:tcW w:w="885" w:type="dxa"/>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标准分</w:t>
            </w:r>
          </w:p>
        </w:tc>
        <w:tc>
          <w:tcPr>
            <w:tcW w:w="9821" w:type="dxa"/>
            <w:tcBorders>
              <w:top w:val="single" w:color="000000" w:sz="8" w:space="0"/>
              <w:left w:val="single" w:color="000000" w:sz="4" w:space="0"/>
              <w:bottom w:val="single" w:color="000000" w:sz="4" w:space="0"/>
              <w:right w:val="single" w:color="000000" w:sz="8" w:space="0"/>
            </w:tcBorders>
            <w:shd w:val="clear" w:color="auto" w:fill="auto"/>
            <w:vAlign w:val="center"/>
          </w:tcPr>
          <w:p>
            <w:pPr>
              <w:widowControl/>
              <w:jc w:val="center"/>
              <w:textAlignment w:val="center"/>
              <w:rPr>
                <w:rFonts w:ascii="宋体" w:hAnsi="宋体" w:eastAsia="宋体" w:cs="宋体"/>
                <w:b/>
                <w:bCs/>
                <w:color w:val="000000"/>
                <w:szCs w:val="21"/>
              </w:rPr>
            </w:pPr>
            <w:r>
              <w:rPr>
                <w:rStyle w:val="140"/>
                <w:rFonts w:hint="default"/>
                <w:lang w:bidi="ar"/>
              </w:rPr>
              <w:t>评分标准</w:t>
            </w:r>
          </w:p>
        </w:tc>
      </w:tr>
      <w:tr>
        <w:tblPrEx>
          <w:tblCellMar>
            <w:top w:w="0" w:type="dxa"/>
            <w:left w:w="108" w:type="dxa"/>
            <w:bottom w:w="0" w:type="dxa"/>
            <w:right w:w="108" w:type="dxa"/>
          </w:tblCellMar>
        </w:tblPrEx>
        <w:trPr>
          <w:trHeight w:val="723" w:hRule="atLeast"/>
        </w:trPr>
        <w:tc>
          <w:tcPr>
            <w:tcW w:w="812" w:type="dxa"/>
            <w:vMerge w:val="restart"/>
            <w:tcBorders>
              <w:top w:val="single" w:color="000000" w:sz="4" w:space="0"/>
              <w:left w:val="single" w:color="000000" w:sz="8"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技术100分</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技术方案</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4</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所报产品的技术方案先进，装备制造能力、生产设备、加工工艺先进，各系统完善、性能可靠，设备主要核心部件具备自身技术优势，技术参数优于招标文件要求，视情况优得31-40分，良得21-30分，一般得1-20分。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项目组织及人员</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val="en-US" w:eastAsia="zh-CN" w:bidi="ar"/>
              </w:rPr>
              <w:t>1</w:t>
            </w:r>
            <w:r>
              <w:rPr>
                <w:rFonts w:hint="eastAsia" w:ascii="宋体" w:hAnsi="宋体" w:eastAsia="宋体" w:cs="宋体"/>
                <w:color w:val="000000"/>
                <w:kern w:val="0"/>
                <w:szCs w:val="21"/>
                <w:lang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成立专项小组且职责明确，全流程项目人员经验丰富。根据方案进行综合评审，优得8-10分；良得5-7分；一般得1-4分。</w:t>
            </w:r>
          </w:p>
        </w:tc>
      </w:tr>
      <w:tr>
        <w:tblPrEx>
          <w:tblCellMar>
            <w:top w:w="0" w:type="dxa"/>
            <w:left w:w="108" w:type="dxa"/>
            <w:bottom w:w="0" w:type="dxa"/>
            <w:right w:w="108" w:type="dxa"/>
          </w:tblCellMar>
        </w:tblPrEx>
        <w:trPr>
          <w:trHeight w:val="456"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供货周期</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20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响应供货期和现场停工期基本要求，有详细可行的行动计划能保证项目进度，有风险管理措施；加工、制作方案合理、完善、切实可行能确保安全；能满足交货期者视情况得15-20分；剩余投标方得1-14分。</w:t>
            </w:r>
          </w:p>
        </w:tc>
      </w:tr>
      <w:tr>
        <w:tblPrEx>
          <w:tblCellMar>
            <w:top w:w="0" w:type="dxa"/>
            <w:left w:w="108" w:type="dxa"/>
            <w:bottom w:w="0" w:type="dxa"/>
            <w:right w:w="108" w:type="dxa"/>
          </w:tblCellMar>
        </w:tblPrEx>
        <w:trPr>
          <w:trHeight w:val="304"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类似业绩</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bidi="ar"/>
              </w:rPr>
              <w:t>1</w:t>
            </w:r>
            <w:r>
              <w:rPr>
                <w:rFonts w:hint="eastAsia" w:ascii="宋体" w:hAnsi="宋体" w:eastAsia="宋体" w:cs="宋体"/>
                <w:color w:val="000000"/>
                <w:kern w:val="0"/>
                <w:szCs w:val="21"/>
                <w:lang w:val="en-US" w:eastAsia="zh-CN" w:bidi="ar"/>
              </w:rPr>
              <w:t>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近三年国内或国外知名品牌商用车或乘用车供货经历和经验或其他大型供货经历，提供1份投标同类产品开发合同证明材料，得2分，最高得10分。</w:t>
            </w:r>
          </w:p>
        </w:tc>
      </w:tr>
      <w:tr>
        <w:tblPrEx>
          <w:tblCellMar>
            <w:top w:w="0" w:type="dxa"/>
            <w:left w:w="108" w:type="dxa"/>
            <w:bottom w:w="0" w:type="dxa"/>
            <w:right w:w="108" w:type="dxa"/>
          </w:tblCellMar>
        </w:tblPrEx>
        <w:trPr>
          <w:trHeight w:val="90" w:hRule="atLeast"/>
        </w:trPr>
        <w:tc>
          <w:tcPr>
            <w:tcW w:w="812" w:type="dxa"/>
            <w:vMerge w:val="continue"/>
            <w:tcBorders>
              <w:left w:val="single" w:color="000000" w:sz="8"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质量保障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szCs w:val="21"/>
                <w:lang w:val="en-US" w:eastAsia="zh-CN"/>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具有良好的质量管理体系和完备的检测体系，保证提供的产品质量、性能稳定可靠。根据提供的证明资料进行综合评审，优得10分，良得5-9分，一般得1-4分。</w:t>
            </w:r>
          </w:p>
        </w:tc>
      </w:tr>
      <w:tr>
        <w:tblPrEx>
          <w:tblCellMar>
            <w:top w:w="0" w:type="dxa"/>
            <w:left w:w="108" w:type="dxa"/>
            <w:bottom w:w="0" w:type="dxa"/>
            <w:right w:w="108" w:type="dxa"/>
          </w:tblCellMar>
        </w:tblPrEx>
        <w:trPr>
          <w:trHeight w:val="244" w:hRule="atLeast"/>
        </w:trPr>
        <w:tc>
          <w:tcPr>
            <w:tcW w:w="812" w:type="dxa"/>
            <w:vMerge w:val="continue"/>
            <w:tcBorders>
              <w:left w:val="single" w:color="000000" w:sz="8" w:space="0"/>
              <w:bottom w:val="single" w:color="000000" w:sz="4" w:space="0"/>
              <w:right w:val="single" w:color="000000" w:sz="4" w:space="0"/>
            </w:tcBorders>
            <w:shd w:val="clear" w:color="auto" w:fill="auto"/>
            <w:vAlign w:val="center"/>
          </w:tcPr>
          <w:p>
            <w:pPr>
              <w:jc w:val="center"/>
              <w:rPr>
                <w:rFonts w:ascii="宋体" w:hAnsi="宋体" w:eastAsia="宋体" w:cs="宋体"/>
                <w:color w:val="000000"/>
                <w:szCs w:val="21"/>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6</w:t>
            </w:r>
          </w:p>
        </w:tc>
        <w:tc>
          <w:tcPr>
            <w:tcW w:w="196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widowControl/>
              <w:spacing w:line="24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质保期和售后服务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10</w:t>
            </w:r>
          </w:p>
        </w:tc>
        <w:tc>
          <w:tcPr>
            <w:tcW w:w="982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1"/>
              <w:widowControl/>
              <w:spacing w:line="24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根据投标文件中提供的质量保证措施、售后服务方案等的响应情况进行综合评审，优得10分，良5-9分，一般1-4分。</w:t>
            </w:r>
          </w:p>
        </w:tc>
      </w:tr>
    </w:tbl>
    <w:p>
      <w:pPr>
        <w:spacing w:line="240" w:lineRule="auto"/>
        <w:ind w:firstLine="482" w:firstLineChars="200"/>
        <w:rPr>
          <w:rFonts w:hint="eastAsia" w:ascii="宋体" w:hAnsi="宋体" w:eastAsia="宋体" w:cs="宋体"/>
          <w:color w:val="000000"/>
          <w:sz w:val="24"/>
          <w:szCs w:val="24"/>
        </w:rPr>
      </w:pPr>
      <w:r>
        <w:rPr>
          <w:rFonts w:hint="eastAsia" w:ascii="宋体" w:hAnsi="宋体" w:eastAsia="宋体" w:cs="宋体"/>
          <w:b/>
          <w:bCs/>
          <w:color w:val="000000"/>
          <w:sz w:val="24"/>
          <w:szCs w:val="24"/>
        </w:rPr>
        <w:t>技术标80分及以上推荐入围商务标阶段</w:t>
      </w:r>
      <w:r>
        <w:rPr>
          <w:rFonts w:hint="eastAsia" w:ascii="宋体" w:hAnsi="宋体" w:eastAsia="宋体" w:cs="宋体"/>
          <w:color w:val="000000"/>
          <w:sz w:val="24"/>
          <w:szCs w:val="24"/>
        </w:rPr>
        <w:t>，评标过程中必须确保推荐的入围候选中标人，在功能、质量、先进性、业绩等方面均符合招标标准要求。</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Style w:val="4"/>
        <w:spacing w:line="240" w:lineRule="auto"/>
        <w:ind w:firstLine="480" w:firstLineChars="200"/>
      </w:pPr>
      <w:r>
        <w:rPr>
          <w:rFonts w:hint="eastAsia" w:ascii="宋体" w:hAnsi="宋体" w:cs="宋体"/>
          <w:b w:val="0"/>
          <w:bCs w:val="0"/>
          <w:color w:val="000000"/>
          <w:szCs w:val="24"/>
        </w:rPr>
        <w:t>c、评标过程中，若出现本办法以外的特殊情况时，将暂停评标，有关情况处理意见待招标工作小组确认后，再行评定。</w:t>
      </w:r>
    </w:p>
    <w:p/>
    <w:p>
      <w:pPr>
        <w:sectPr>
          <w:pgSz w:w="16838" w:h="11906" w:orient="landscape"/>
          <w:pgMar w:top="1417" w:right="1588"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5"/>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6"/>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7"/>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8"/>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17"/>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1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46"/>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46"/>
          <w:rFonts w:hint="eastAsia" w:ascii="宋体" w:hAnsi="宋体" w:eastAsia="宋体" w:cs="宋体"/>
          <w:sz w:val="24"/>
          <w:szCs w:val="24"/>
        </w:rPr>
        <w:fldChar w:fldCharType="begin"/>
      </w:r>
      <w:r>
        <w:rPr>
          <w:rStyle w:val="46"/>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6"/>
          <w:rFonts w:hint="eastAsia" w:ascii="宋体" w:hAnsi="宋体" w:eastAsia="宋体" w:cs="宋体"/>
          <w:sz w:val="24"/>
          <w:szCs w:val="24"/>
        </w:rPr>
        <w:fldChar w:fldCharType="separate"/>
      </w:r>
      <w:r>
        <w:rPr>
          <w:rStyle w:val="46"/>
          <w:rFonts w:hint="eastAsia" w:ascii="宋体" w:hAnsi="宋体" w:eastAsia="宋体" w:cs="宋体"/>
          <w:sz w:val="24"/>
          <w:szCs w:val="24"/>
        </w:rPr>
        <w:t>http://ecaitong.sinotruk.com:8012/</w:t>
      </w:r>
      <w:r>
        <w:rPr>
          <w:rStyle w:val="46"/>
          <w:rFonts w:hint="eastAsia" w:ascii="宋体" w:hAnsi="宋体" w:eastAsia="宋体" w:cs="宋体"/>
          <w:sz w:val="24"/>
          <w:szCs w:val="24"/>
        </w:rPr>
        <w:fldChar w:fldCharType="end"/>
      </w:r>
      <w:r>
        <w:rPr>
          <w:rStyle w:val="46"/>
          <w:rFonts w:hint="eastAsia" w:ascii="宋体" w:hAnsi="宋体" w:eastAsia="宋体" w:cs="宋体"/>
          <w:sz w:val="24"/>
          <w:szCs w:val="24"/>
          <w:lang w:eastAsia="zh-CN"/>
        </w:rPr>
        <w:t>（</w:t>
      </w:r>
      <w:r>
        <w:rPr>
          <w:rStyle w:val="46"/>
          <w:rFonts w:hint="eastAsia" w:ascii="宋体" w:hAnsi="宋体" w:eastAsia="宋体" w:cs="宋体"/>
          <w:sz w:val="24"/>
          <w:szCs w:val="24"/>
          <w:lang w:val="en-US" w:eastAsia="zh-CN"/>
        </w:rPr>
        <w:t>以下内容可能非最新版本，仅供参考，请登录系统网址后，点检查看最新版供应商手册</w:t>
      </w:r>
      <w:r>
        <w:rPr>
          <w:rStyle w:val="46"/>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1"/>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2"/>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3"/>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17"/>
      </w:pP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7"/>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3</w:t>
                    </w:r>
                    <w:r>
                      <w:fldChar w:fldCharType="end"/>
                    </w:r>
                  </w:p>
                </w:txbxContent>
              </v:textbox>
            </v:shape>
          </w:pict>
        </mc:Fallback>
      </mc:AlternateContent>
    </w: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26BC7DC"/>
    <w:multiLevelType w:val="singleLevel"/>
    <w:tmpl w:val="226BC7DC"/>
    <w:lvl w:ilvl="0" w:tentative="0">
      <w:start w:val="1"/>
      <w:numFmt w:val="decimal"/>
      <w:lvlText w:val="%1."/>
      <w:lvlJc w:val="left"/>
      <w:pPr>
        <w:tabs>
          <w:tab w:val="left" w:pos="312"/>
        </w:tabs>
      </w:p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5"/>
      <w:suff w:val="nothing"/>
      <w:lvlText w:val="%1%2　"/>
      <w:lvlJc w:val="left"/>
      <w:pPr>
        <w:ind w:left="0" w:firstLine="0"/>
      </w:pPr>
      <w:rPr>
        <w:rFonts w:hint="eastAsia" w:ascii="黑体" w:hAnsi="Times New Roman" w:eastAsia="黑体"/>
        <w:b w:val="0"/>
        <w:i w:val="0"/>
        <w:sz w:val="21"/>
      </w:rPr>
    </w:lvl>
    <w:lvl w:ilvl="2" w:tentative="0">
      <w:start w:val="1"/>
      <w:numFmt w:val="decimal"/>
      <w:pStyle w:val="110"/>
      <w:suff w:val="nothing"/>
      <w:lvlText w:val="%1%2.%3　"/>
      <w:lvlJc w:val="left"/>
      <w:pPr>
        <w:ind w:left="2552" w:firstLine="0"/>
      </w:pPr>
      <w:rPr>
        <w:rFonts w:hint="eastAsia" w:ascii="黑体" w:hAnsi="Times New Roman" w:eastAsia="黑体"/>
        <w:b w:val="0"/>
        <w:i w:val="0"/>
        <w:sz w:val="21"/>
      </w:rPr>
    </w:lvl>
    <w:lvl w:ilvl="3" w:tentative="0">
      <w:start w:val="1"/>
      <w:numFmt w:val="decimal"/>
      <w:pStyle w:val="150"/>
      <w:suff w:val="nothing"/>
      <w:lvlText w:val="%1%2.%3.%4　"/>
      <w:lvlJc w:val="left"/>
      <w:pPr>
        <w:ind w:left="3827" w:firstLine="0"/>
      </w:pPr>
      <w:rPr>
        <w:rFonts w:hint="eastAsia" w:ascii="黑体" w:hAnsi="Times New Roman" w:eastAsia="黑体"/>
        <w:b w:val="0"/>
        <w:i w:val="0"/>
        <w:sz w:val="21"/>
      </w:rPr>
    </w:lvl>
    <w:lvl w:ilvl="4" w:tentative="0">
      <w:start w:val="1"/>
      <w:numFmt w:val="decimal"/>
      <w:pStyle w:val="151"/>
      <w:suff w:val="nothing"/>
      <w:lvlText w:val="%1%2.%3.%4.%5　"/>
      <w:lvlJc w:val="left"/>
      <w:pPr>
        <w:ind w:left="708"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0"/>
  </w:num>
  <w:num w:numId="4">
    <w:abstractNumId w:val="10"/>
  </w:num>
  <w:num w:numId="5">
    <w:abstractNumId w:val="4"/>
  </w:num>
  <w:num w:numId="6">
    <w:abstractNumId w:val="2"/>
  </w:num>
  <w:num w:numId="7">
    <w:abstractNumId w:val="7"/>
  </w:num>
  <w:num w:numId="8">
    <w:abstractNumId w:val="1"/>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3MjRkZTcwNjVhMmUwMDJjMWUwZGM1M2I0MzhjMzgifQ=="/>
  </w:docVars>
  <w:rsids>
    <w:rsidRoot w:val="00172A27"/>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A51B4"/>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042CD0"/>
    <w:rsid w:val="0147778C"/>
    <w:rsid w:val="014832F2"/>
    <w:rsid w:val="014D51C1"/>
    <w:rsid w:val="01714809"/>
    <w:rsid w:val="01C52478"/>
    <w:rsid w:val="027408EE"/>
    <w:rsid w:val="02963F39"/>
    <w:rsid w:val="02B3095A"/>
    <w:rsid w:val="02BA7274"/>
    <w:rsid w:val="03251978"/>
    <w:rsid w:val="0325718A"/>
    <w:rsid w:val="042921B6"/>
    <w:rsid w:val="043B72BB"/>
    <w:rsid w:val="04461EC1"/>
    <w:rsid w:val="04504B3F"/>
    <w:rsid w:val="04AD02B8"/>
    <w:rsid w:val="04B944C7"/>
    <w:rsid w:val="04DE51C8"/>
    <w:rsid w:val="04DF17D4"/>
    <w:rsid w:val="05412745"/>
    <w:rsid w:val="05491761"/>
    <w:rsid w:val="05A351AD"/>
    <w:rsid w:val="05F9748A"/>
    <w:rsid w:val="06266F78"/>
    <w:rsid w:val="063E7B7A"/>
    <w:rsid w:val="06582413"/>
    <w:rsid w:val="067E33B8"/>
    <w:rsid w:val="06E82FCB"/>
    <w:rsid w:val="06F34B95"/>
    <w:rsid w:val="06F7755F"/>
    <w:rsid w:val="07571DAC"/>
    <w:rsid w:val="07797C0B"/>
    <w:rsid w:val="077E4EA5"/>
    <w:rsid w:val="07AB20F7"/>
    <w:rsid w:val="08186171"/>
    <w:rsid w:val="08590488"/>
    <w:rsid w:val="08803584"/>
    <w:rsid w:val="08DB07BA"/>
    <w:rsid w:val="08DD171B"/>
    <w:rsid w:val="08E64121"/>
    <w:rsid w:val="0942017F"/>
    <w:rsid w:val="097A4BB9"/>
    <w:rsid w:val="09A36273"/>
    <w:rsid w:val="09BA1FBB"/>
    <w:rsid w:val="09CB139F"/>
    <w:rsid w:val="09F93543"/>
    <w:rsid w:val="0A0106F5"/>
    <w:rsid w:val="0A112AB7"/>
    <w:rsid w:val="0A886720"/>
    <w:rsid w:val="0A977BEE"/>
    <w:rsid w:val="0AAA504A"/>
    <w:rsid w:val="0AD71BC7"/>
    <w:rsid w:val="0AF420EB"/>
    <w:rsid w:val="0B2B2BF5"/>
    <w:rsid w:val="0B2F3908"/>
    <w:rsid w:val="0B3F6206"/>
    <w:rsid w:val="0B9C3F94"/>
    <w:rsid w:val="0BE12DB6"/>
    <w:rsid w:val="0BFC6504"/>
    <w:rsid w:val="0C345AD1"/>
    <w:rsid w:val="0C626CE4"/>
    <w:rsid w:val="0D0C2B7B"/>
    <w:rsid w:val="0D103128"/>
    <w:rsid w:val="0D9308F8"/>
    <w:rsid w:val="0DE76C3D"/>
    <w:rsid w:val="0E083E00"/>
    <w:rsid w:val="0E1A1D85"/>
    <w:rsid w:val="0E750568"/>
    <w:rsid w:val="0E9C3C97"/>
    <w:rsid w:val="0F2D7A80"/>
    <w:rsid w:val="0F4277E5"/>
    <w:rsid w:val="0FA75561"/>
    <w:rsid w:val="0FB83603"/>
    <w:rsid w:val="0FCA77F1"/>
    <w:rsid w:val="0FCD5DCC"/>
    <w:rsid w:val="10043197"/>
    <w:rsid w:val="101E1EA5"/>
    <w:rsid w:val="10270545"/>
    <w:rsid w:val="1032785A"/>
    <w:rsid w:val="103409DF"/>
    <w:rsid w:val="108A1D4B"/>
    <w:rsid w:val="10A10111"/>
    <w:rsid w:val="10BE093E"/>
    <w:rsid w:val="10E20BD8"/>
    <w:rsid w:val="111B0FE9"/>
    <w:rsid w:val="111E54BC"/>
    <w:rsid w:val="112C77F4"/>
    <w:rsid w:val="115F67A8"/>
    <w:rsid w:val="116339A6"/>
    <w:rsid w:val="119A7465"/>
    <w:rsid w:val="11C07DA5"/>
    <w:rsid w:val="11C2491E"/>
    <w:rsid w:val="11F36B75"/>
    <w:rsid w:val="12491386"/>
    <w:rsid w:val="12541D09"/>
    <w:rsid w:val="128807D2"/>
    <w:rsid w:val="12E60579"/>
    <w:rsid w:val="12EB0F02"/>
    <w:rsid w:val="13355458"/>
    <w:rsid w:val="13695B36"/>
    <w:rsid w:val="1372609F"/>
    <w:rsid w:val="13D50C28"/>
    <w:rsid w:val="13D73572"/>
    <w:rsid w:val="144363D4"/>
    <w:rsid w:val="14504752"/>
    <w:rsid w:val="145A6A37"/>
    <w:rsid w:val="1467440F"/>
    <w:rsid w:val="14B60A59"/>
    <w:rsid w:val="15400323"/>
    <w:rsid w:val="15433A9B"/>
    <w:rsid w:val="15FC2F04"/>
    <w:rsid w:val="16181FAC"/>
    <w:rsid w:val="16781D3E"/>
    <w:rsid w:val="168756A0"/>
    <w:rsid w:val="16DE4BFF"/>
    <w:rsid w:val="16E75D5E"/>
    <w:rsid w:val="16F94849"/>
    <w:rsid w:val="16FF13AD"/>
    <w:rsid w:val="17045E51"/>
    <w:rsid w:val="172011D4"/>
    <w:rsid w:val="17252C3B"/>
    <w:rsid w:val="173F0A2E"/>
    <w:rsid w:val="17770BC2"/>
    <w:rsid w:val="17860E2F"/>
    <w:rsid w:val="17A119AA"/>
    <w:rsid w:val="18586F2B"/>
    <w:rsid w:val="18B518DD"/>
    <w:rsid w:val="19A4034B"/>
    <w:rsid w:val="19A766B9"/>
    <w:rsid w:val="19CE76BA"/>
    <w:rsid w:val="19D11E91"/>
    <w:rsid w:val="19F26070"/>
    <w:rsid w:val="19F97C8B"/>
    <w:rsid w:val="1A1523CE"/>
    <w:rsid w:val="1A1E139B"/>
    <w:rsid w:val="1A3366A8"/>
    <w:rsid w:val="1A6119E3"/>
    <w:rsid w:val="1AA730BD"/>
    <w:rsid w:val="1B333D5D"/>
    <w:rsid w:val="1B587618"/>
    <w:rsid w:val="1B5F19C7"/>
    <w:rsid w:val="1B6B0FE4"/>
    <w:rsid w:val="1B774356"/>
    <w:rsid w:val="1C1C709B"/>
    <w:rsid w:val="1C4F6795"/>
    <w:rsid w:val="1C9F6814"/>
    <w:rsid w:val="1CA23671"/>
    <w:rsid w:val="1CF70D48"/>
    <w:rsid w:val="1D5C514E"/>
    <w:rsid w:val="1D865D14"/>
    <w:rsid w:val="1D8705EC"/>
    <w:rsid w:val="1DA90A2F"/>
    <w:rsid w:val="1DBC5610"/>
    <w:rsid w:val="1E43150B"/>
    <w:rsid w:val="1EA93E80"/>
    <w:rsid w:val="1ED33FB6"/>
    <w:rsid w:val="1EE81332"/>
    <w:rsid w:val="1F32415A"/>
    <w:rsid w:val="1F542F9A"/>
    <w:rsid w:val="1F702632"/>
    <w:rsid w:val="1F7D1043"/>
    <w:rsid w:val="1F7E2174"/>
    <w:rsid w:val="1FBC5CBE"/>
    <w:rsid w:val="20107567"/>
    <w:rsid w:val="20AB56C6"/>
    <w:rsid w:val="20CF7C34"/>
    <w:rsid w:val="21547789"/>
    <w:rsid w:val="2176507C"/>
    <w:rsid w:val="21BE35AF"/>
    <w:rsid w:val="21C11174"/>
    <w:rsid w:val="220D732D"/>
    <w:rsid w:val="22244B28"/>
    <w:rsid w:val="22336619"/>
    <w:rsid w:val="22467FD4"/>
    <w:rsid w:val="226A1E07"/>
    <w:rsid w:val="229451FD"/>
    <w:rsid w:val="22A12DB6"/>
    <w:rsid w:val="230C7A96"/>
    <w:rsid w:val="236356D1"/>
    <w:rsid w:val="23A91C83"/>
    <w:rsid w:val="23C962E8"/>
    <w:rsid w:val="246D6790"/>
    <w:rsid w:val="247E4FED"/>
    <w:rsid w:val="24AD78E0"/>
    <w:rsid w:val="24B30BE8"/>
    <w:rsid w:val="24B959FC"/>
    <w:rsid w:val="24E15C26"/>
    <w:rsid w:val="24E34060"/>
    <w:rsid w:val="253A0491"/>
    <w:rsid w:val="25E036B2"/>
    <w:rsid w:val="25E9082A"/>
    <w:rsid w:val="25F42473"/>
    <w:rsid w:val="26AF2D79"/>
    <w:rsid w:val="26B34B91"/>
    <w:rsid w:val="270D66E8"/>
    <w:rsid w:val="271460F5"/>
    <w:rsid w:val="27180043"/>
    <w:rsid w:val="27514612"/>
    <w:rsid w:val="278B0DAB"/>
    <w:rsid w:val="279C6B0E"/>
    <w:rsid w:val="27A64735"/>
    <w:rsid w:val="27CC4DF2"/>
    <w:rsid w:val="281864F2"/>
    <w:rsid w:val="283F41FE"/>
    <w:rsid w:val="286903EF"/>
    <w:rsid w:val="287F5DD3"/>
    <w:rsid w:val="288047CB"/>
    <w:rsid w:val="289C366A"/>
    <w:rsid w:val="289E62FA"/>
    <w:rsid w:val="28FD6E90"/>
    <w:rsid w:val="291E2CA6"/>
    <w:rsid w:val="29331862"/>
    <w:rsid w:val="293C4426"/>
    <w:rsid w:val="299741EC"/>
    <w:rsid w:val="299E147F"/>
    <w:rsid w:val="29C32A87"/>
    <w:rsid w:val="29CF26DC"/>
    <w:rsid w:val="2A0151A8"/>
    <w:rsid w:val="2A1C5DA0"/>
    <w:rsid w:val="2A200D39"/>
    <w:rsid w:val="2A507EFF"/>
    <w:rsid w:val="2ADC05A4"/>
    <w:rsid w:val="2AEF2177"/>
    <w:rsid w:val="2B6F0D7F"/>
    <w:rsid w:val="2B8716BD"/>
    <w:rsid w:val="2B8B76FF"/>
    <w:rsid w:val="2BD5034F"/>
    <w:rsid w:val="2BFA123F"/>
    <w:rsid w:val="2C4F1B9F"/>
    <w:rsid w:val="2D025012"/>
    <w:rsid w:val="2D355E3C"/>
    <w:rsid w:val="2D3725E1"/>
    <w:rsid w:val="2D4178F0"/>
    <w:rsid w:val="2DAE631A"/>
    <w:rsid w:val="2DD877E0"/>
    <w:rsid w:val="2DE616C9"/>
    <w:rsid w:val="2DFC2451"/>
    <w:rsid w:val="2E3422F8"/>
    <w:rsid w:val="2E6E566D"/>
    <w:rsid w:val="2E7F188E"/>
    <w:rsid w:val="2E8F1410"/>
    <w:rsid w:val="2EA414CB"/>
    <w:rsid w:val="2EBC0905"/>
    <w:rsid w:val="2EC73739"/>
    <w:rsid w:val="2EFB1B0E"/>
    <w:rsid w:val="2F5C684F"/>
    <w:rsid w:val="2FA21EAE"/>
    <w:rsid w:val="307776D1"/>
    <w:rsid w:val="30862574"/>
    <w:rsid w:val="30A30315"/>
    <w:rsid w:val="30B631E1"/>
    <w:rsid w:val="311933AA"/>
    <w:rsid w:val="3135465C"/>
    <w:rsid w:val="317D15BB"/>
    <w:rsid w:val="31D07E6C"/>
    <w:rsid w:val="322C6574"/>
    <w:rsid w:val="323F65DA"/>
    <w:rsid w:val="32412074"/>
    <w:rsid w:val="32515B4E"/>
    <w:rsid w:val="32BB6DE3"/>
    <w:rsid w:val="32DE0199"/>
    <w:rsid w:val="333C2963"/>
    <w:rsid w:val="335B2774"/>
    <w:rsid w:val="33613647"/>
    <w:rsid w:val="33A4642E"/>
    <w:rsid w:val="33C63C91"/>
    <w:rsid w:val="33D10FB5"/>
    <w:rsid w:val="33D4039C"/>
    <w:rsid w:val="33D47E05"/>
    <w:rsid w:val="3413677D"/>
    <w:rsid w:val="342B544B"/>
    <w:rsid w:val="345E036E"/>
    <w:rsid w:val="346911EC"/>
    <w:rsid w:val="34C47852"/>
    <w:rsid w:val="34D81ECE"/>
    <w:rsid w:val="34DE1E4F"/>
    <w:rsid w:val="34F07DB1"/>
    <w:rsid w:val="35640551"/>
    <w:rsid w:val="359009FB"/>
    <w:rsid w:val="35A01173"/>
    <w:rsid w:val="35D354B8"/>
    <w:rsid w:val="35D4025C"/>
    <w:rsid w:val="362666BC"/>
    <w:rsid w:val="368A6B11"/>
    <w:rsid w:val="37085B1F"/>
    <w:rsid w:val="372E04CB"/>
    <w:rsid w:val="38E070F2"/>
    <w:rsid w:val="390D33AB"/>
    <w:rsid w:val="391E6D06"/>
    <w:rsid w:val="3A074847"/>
    <w:rsid w:val="3A830B2E"/>
    <w:rsid w:val="3AA90FE6"/>
    <w:rsid w:val="3AA9318F"/>
    <w:rsid w:val="3AB62DA0"/>
    <w:rsid w:val="3B0A330F"/>
    <w:rsid w:val="3B196D9D"/>
    <w:rsid w:val="3B351E28"/>
    <w:rsid w:val="3B427E5C"/>
    <w:rsid w:val="3B585B17"/>
    <w:rsid w:val="3B7D3FD5"/>
    <w:rsid w:val="3B823DDF"/>
    <w:rsid w:val="3B914B85"/>
    <w:rsid w:val="3B9B59E2"/>
    <w:rsid w:val="3BD827B4"/>
    <w:rsid w:val="3C237ED3"/>
    <w:rsid w:val="3CAA596A"/>
    <w:rsid w:val="3CAF1D22"/>
    <w:rsid w:val="3CB1587B"/>
    <w:rsid w:val="3CB735F2"/>
    <w:rsid w:val="3D186684"/>
    <w:rsid w:val="3D363C36"/>
    <w:rsid w:val="3D6C08E2"/>
    <w:rsid w:val="3D8B2178"/>
    <w:rsid w:val="3D9318EB"/>
    <w:rsid w:val="3DB34909"/>
    <w:rsid w:val="3DD115F5"/>
    <w:rsid w:val="3DE435F0"/>
    <w:rsid w:val="3DE5122C"/>
    <w:rsid w:val="3DF37E53"/>
    <w:rsid w:val="3E740EBA"/>
    <w:rsid w:val="3EC86B10"/>
    <w:rsid w:val="3ED26DE9"/>
    <w:rsid w:val="3EED17D0"/>
    <w:rsid w:val="3F0C0304"/>
    <w:rsid w:val="3F774839"/>
    <w:rsid w:val="3FEC147E"/>
    <w:rsid w:val="40376375"/>
    <w:rsid w:val="40D70587"/>
    <w:rsid w:val="412732B7"/>
    <w:rsid w:val="4127791F"/>
    <w:rsid w:val="41281794"/>
    <w:rsid w:val="413C1FDF"/>
    <w:rsid w:val="416D399E"/>
    <w:rsid w:val="417A65A3"/>
    <w:rsid w:val="41806A69"/>
    <w:rsid w:val="41B0259C"/>
    <w:rsid w:val="41BC6F1C"/>
    <w:rsid w:val="41C46001"/>
    <w:rsid w:val="41EF2363"/>
    <w:rsid w:val="41F77860"/>
    <w:rsid w:val="424A4B98"/>
    <w:rsid w:val="42581D3A"/>
    <w:rsid w:val="42ED2EA4"/>
    <w:rsid w:val="42F6649D"/>
    <w:rsid w:val="42FE0080"/>
    <w:rsid w:val="43315D2E"/>
    <w:rsid w:val="43670C99"/>
    <w:rsid w:val="43824A1C"/>
    <w:rsid w:val="43D110E1"/>
    <w:rsid w:val="43E873C9"/>
    <w:rsid w:val="44905B1F"/>
    <w:rsid w:val="44A85002"/>
    <w:rsid w:val="45316885"/>
    <w:rsid w:val="45A95EE9"/>
    <w:rsid w:val="45EF1E33"/>
    <w:rsid w:val="45FB0F21"/>
    <w:rsid w:val="46167166"/>
    <w:rsid w:val="4636719A"/>
    <w:rsid w:val="46DC2BD2"/>
    <w:rsid w:val="47200EE3"/>
    <w:rsid w:val="47435AC2"/>
    <w:rsid w:val="47457828"/>
    <w:rsid w:val="47544B78"/>
    <w:rsid w:val="47587AF7"/>
    <w:rsid w:val="47745A86"/>
    <w:rsid w:val="477B2160"/>
    <w:rsid w:val="47E239AC"/>
    <w:rsid w:val="47F72214"/>
    <w:rsid w:val="480F4B73"/>
    <w:rsid w:val="48DB38E3"/>
    <w:rsid w:val="49001B5E"/>
    <w:rsid w:val="49376DB0"/>
    <w:rsid w:val="496271AF"/>
    <w:rsid w:val="49804BB7"/>
    <w:rsid w:val="49826DCB"/>
    <w:rsid w:val="499013E7"/>
    <w:rsid w:val="49C13AB5"/>
    <w:rsid w:val="49C8088A"/>
    <w:rsid w:val="4A301C93"/>
    <w:rsid w:val="4A3302AB"/>
    <w:rsid w:val="4A7B537E"/>
    <w:rsid w:val="4AC85D49"/>
    <w:rsid w:val="4AE308A9"/>
    <w:rsid w:val="4B260F2D"/>
    <w:rsid w:val="4B2E418D"/>
    <w:rsid w:val="4B4F20F9"/>
    <w:rsid w:val="4B9A1456"/>
    <w:rsid w:val="4BA32C82"/>
    <w:rsid w:val="4BD022FD"/>
    <w:rsid w:val="4BE70627"/>
    <w:rsid w:val="4C0A5AE1"/>
    <w:rsid w:val="4C130AB8"/>
    <w:rsid w:val="4C5A284D"/>
    <w:rsid w:val="4C5C0673"/>
    <w:rsid w:val="4CB96B43"/>
    <w:rsid w:val="4CC410A6"/>
    <w:rsid w:val="4CC75FCC"/>
    <w:rsid w:val="4CC87A5E"/>
    <w:rsid w:val="4CD63947"/>
    <w:rsid w:val="4CFC49F4"/>
    <w:rsid w:val="4D073D73"/>
    <w:rsid w:val="4D1E27BA"/>
    <w:rsid w:val="4D23574A"/>
    <w:rsid w:val="4D4C4DB0"/>
    <w:rsid w:val="4D7322D5"/>
    <w:rsid w:val="4DD7034C"/>
    <w:rsid w:val="4DE312CB"/>
    <w:rsid w:val="4DF5318E"/>
    <w:rsid w:val="4E1F4862"/>
    <w:rsid w:val="4E2E4393"/>
    <w:rsid w:val="4E35690B"/>
    <w:rsid w:val="4E535EF2"/>
    <w:rsid w:val="4F08773C"/>
    <w:rsid w:val="4F1638C7"/>
    <w:rsid w:val="4F31409F"/>
    <w:rsid w:val="4F5E670E"/>
    <w:rsid w:val="4F846A83"/>
    <w:rsid w:val="4FC0482A"/>
    <w:rsid w:val="50070E2C"/>
    <w:rsid w:val="501112F3"/>
    <w:rsid w:val="504B57F2"/>
    <w:rsid w:val="505162C9"/>
    <w:rsid w:val="507619E1"/>
    <w:rsid w:val="50C62BC7"/>
    <w:rsid w:val="50F72A66"/>
    <w:rsid w:val="5123368C"/>
    <w:rsid w:val="5130747C"/>
    <w:rsid w:val="515C765A"/>
    <w:rsid w:val="51905BB3"/>
    <w:rsid w:val="51946FCB"/>
    <w:rsid w:val="51DD796B"/>
    <w:rsid w:val="51DF373B"/>
    <w:rsid w:val="51E95740"/>
    <w:rsid w:val="51EB2DE9"/>
    <w:rsid w:val="52D970E6"/>
    <w:rsid w:val="52EF4CB5"/>
    <w:rsid w:val="52F959F0"/>
    <w:rsid w:val="5302488E"/>
    <w:rsid w:val="53136173"/>
    <w:rsid w:val="534B12B7"/>
    <w:rsid w:val="536E36A6"/>
    <w:rsid w:val="539A4AC7"/>
    <w:rsid w:val="542631B6"/>
    <w:rsid w:val="5447483C"/>
    <w:rsid w:val="544E58B1"/>
    <w:rsid w:val="54785EAD"/>
    <w:rsid w:val="54942CAE"/>
    <w:rsid w:val="549C03CB"/>
    <w:rsid w:val="54A61722"/>
    <w:rsid w:val="54B31FAF"/>
    <w:rsid w:val="55326D63"/>
    <w:rsid w:val="555D1A10"/>
    <w:rsid w:val="56356D29"/>
    <w:rsid w:val="56A20EA8"/>
    <w:rsid w:val="56AC4A78"/>
    <w:rsid w:val="56DB16B9"/>
    <w:rsid w:val="570A3D11"/>
    <w:rsid w:val="577A3463"/>
    <w:rsid w:val="57C77E54"/>
    <w:rsid w:val="57E36310"/>
    <w:rsid w:val="57F967AD"/>
    <w:rsid w:val="58052975"/>
    <w:rsid w:val="584D1A65"/>
    <w:rsid w:val="584F5C44"/>
    <w:rsid w:val="588C0756"/>
    <w:rsid w:val="58E525CA"/>
    <w:rsid w:val="593D045A"/>
    <w:rsid w:val="5960739E"/>
    <w:rsid w:val="59896D0A"/>
    <w:rsid w:val="59B72684"/>
    <w:rsid w:val="59E0527F"/>
    <w:rsid w:val="5A421A14"/>
    <w:rsid w:val="5A9579AE"/>
    <w:rsid w:val="5AC468CD"/>
    <w:rsid w:val="5B342B9A"/>
    <w:rsid w:val="5B5953B0"/>
    <w:rsid w:val="5B5F03A4"/>
    <w:rsid w:val="5B630802"/>
    <w:rsid w:val="5B644229"/>
    <w:rsid w:val="5B807F68"/>
    <w:rsid w:val="5BA72CE5"/>
    <w:rsid w:val="5C034D53"/>
    <w:rsid w:val="5C1765AF"/>
    <w:rsid w:val="5E1D6F56"/>
    <w:rsid w:val="5E52187F"/>
    <w:rsid w:val="5E6A13CD"/>
    <w:rsid w:val="5E705D15"/>
    <w:rsid w:val="5E93326C"/>
    <w:rsid w:val="5E9F1A7A"/>
    <w:rsid w:val="5EFB4BA4"/>
    <w:rsid w:val="5F025452"/>
    <w:rsid w:val="5F490D33"/>
    <w:rsid w:val="5F5426EE"/>
    <w:rsid w:val="5F5F46B5"/>
    <w:rsid w:val="5FB25360"/>
    <w:rsid w:val="5FBA3CC0"/>
    <w:rsid w:val="5FD90D61"/>
    <w:rsid w:val="60177697"/>
    <w:rsid w:val="602329DB"/>
    <w:rsid w:val="607777D6"/>
    <w:rsid w:val="60BC76A1"/>
    <w:rsid w:val="610B7637"/>
    <w:rsid w:val="612279BA"/>
    <w:rsid w:val="615F5624"/>
    <w:rsid w:val="61C25AC1"/>
    <w:rsid w:val="61D215CF"/>
    <w:rsid w:val="625C563D"/>
    <w:rsid w:val="626A1704"/>
    <w:rsid w:val="627921C2"/>
    <w:rsid w:val="62B362C8"/>
    <w:rsid w:val="62C1330E"/>
    <w:rsid w:val="6342085E"/>
    <w:rsid w:val="636F415C"/>
    <w:rsid w:val="639037F0"/>
    <w:rsid w:val="644F33DD"/>
    <w:rsid w:val="646126CB"/>
    <w:rsid w:val="648B3FB8"/>
    <w:rsid w:val="64917820"/>
    <w:rsid w:val="64A5372F"/>
    <w:rsid w:val="64AA1CC5"/>
    <w:rsid w:val="6528341F"/>
    <w:rsid w:val="652A557F"/>
    <w:rsid w:val="656B2909"/>
    <w:rsid w:val="65A3045D"/>
    <w:rsid w:val="65D97752"/>
    <w:rsid w:val="65E25E59"/>
    <w:rsid w:val="66307F76"/>
    <w:rsid w:val="66580EAF"/>
    <w:rsid w:val="66694D0D"/>
    <w:rsid w:val="667B4472"/>
    <w:rsid w:val="66F041A8"/>
    <w:rsid w:val="670C7632"/>
    <w:rsid w:val="6721178A"/>
    <w:rsid w:val="6739399A"/>
    <w:rsid w:val="673F39DE"/>
    <w:rsid w:val="674C5D22"/>
    <w:rsid w:val="67663AF8"/>
    <w:rsid w:val="67762CFD"/>
    <w:rsid w:val="677A678D"/>
    <w:rsid w:val="679847C2"/>
    <w:rsid w:val="67CF7349"/>
    <w:rsid w:val="68011379"/>
    <w:rsid w:val="68252C37"/>
    <w:rsid w:val="68817BAC"/>
    <w:rsid w:val="689A5E59"/>
    <w:rsid w:val="68A11FFC"/>
    <w:rsid w:val="68A13DAA"/>
    <w:rsid w:val="68A94E70"/>
    <w:rsid w:val="68EE72DF"/>
    <w:rsid w:val="69450BD9"/>
    <w:rsid w:val="69485FEA"/>
    <w:rsid w:val="69677DC0"/>
    <w:rsid w:val="69937EC7"/>
    <w:rsid w:val="69D64558"/>
    <w:rsid w:val="6A042548"/>
    <w:rsid w:val="6A471EFD"/>
    <w:rsid w:val="6AB57116"/>
    <w:rsid w:val="6B17424A"/>
    <w:rsid w:val="6B2218FA"/>
    <w:rsid w:val="6B686C59"/>
    <w:rsid w:val="6B691672"/>
    <w:rsid w:val="6BE97F42"/>
    <w:rsid w:val="6BEE7306"/>
    <w:rsid w:val="6BF07522"/>
    <w:rsid w:val="6C3F3CAC"/>
    <w:rsid w:val="6C517895"/>
    <w:rsid w:val="6C5E6A51"/>
    <w:rsid w:val="6C6513C3"/>
    <w:rsid w:val="6C744268"/>
    <w:rsid w:val="6C913746"/>
    <w:rsid w:val="6CD62D03"/>
    <w:rsid w:val="6CD97FB6"/>
    <w:rsid w:val="6D0E5050"/>
    <w:rsid w:val="6D4B22B8"/>
    <w:rsid w:val="6D930013"/>
    <w:rsid w:val="6E1A1656"/>
    <w:rsid w:val="6E231DD6"/>
    <w:rsid w:val="6E2A4841"/>
    <w:rsid w:val="6E3F2AAB"/>
    <w:rsid w:val="6E5A5288"/>
    <w:rsid w:val="6E9F108C"/>
    <w:rsid w:val="6EE013EE"/>
    <w:rsid w:val="6EE079F1"/>
    <w:rsid w:val="6EE42C42"/>
    <w:rsid w:val="6F437969"/>
    <w:rsid w:val="6F7F7CB0"/>
    <w:rsid w:val="6FA052B9"/>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05184D"/>
    <w:rsid w:val="722922C6"/>
    <w:rsid w:val="72477770"/>
    <w:rsid w:val="72B8066E"/>
    <w:rsid w:val="72B9542A"/>
    <w:rsid w:val="72CB03A1"/>
    <w:rsid w:val="732D4B5D"/>
    <w:rsid w:val="73393C88"/>
    <w:rsid w:val="735B02C3"/>
    <w:rsid w:val="7362513F"/>
    <w:rsid w:val="73771D49"/>
    <w:rsid w:val="73A1354E"/>
    <w:rsid w:val="73C8383A"/>
    <w:rsid w:val="74357964"/>
    <w:rsid w:val="746E5488"/>
    <w:rsid w:val="74A11E7D"/>
    <w:rsid w:val="74DD6078"/>
    <w:rsid w:val="75590B0A"/>
    <w:rsid w:val="7582279F"/>
    <w:rsid w:val="75843EB5"/>
    <w:rsid w:val="75BB71AF"/>
    <w:rsid w:val="75EB18CD"/>
    <w:rsid w:val="75EB2C52"/>
    <w:rsid w:val="75F01962"/>
    <w:rsid w:val="760E19DF"/>
    <w:rsid w:val="76557F3E"/>
    <w:rsid w:val="76676A53"/>
    <w:rsid w:val="76A3294D"/>
    <w:rsid w:val="76B620A1"/>
    <w:rsid w:val="76F20814"/>
    <w:rsid w:val="77462524"/>
    <w:rsid w:val="779A6594"/>
    <w:rsid w:val="77A113FB"/>
    <w:rsid w:val="77A21064"/>
    <w:rsid w:val="77E34EB2"/>
    <w:rsid w:val="781564B8"/>
    <w:rsid w:val="78224ACF"/>
    <w:rsid w:val="7825297D"/>
    <w:rsid w:val="78CD6DCC"/>
    <w:rsid w:val="78D07CAF"/>
    <w:rsid w:val="78DE12D7"/>
    <w:rsid w:val="79210683"/>
    <w:rsid w:val="7972370D"/>
    <w:rsid w:val="799C3465"/>
    <w:rsid w:val="79B14EC4"/>
    <w:rsid w:val="7A2A6B4A"/>
    <w:rsid w:val="7A681070"/>
    <w:rsid w:val="7A7A6828"/>
    <w:rsid w:val="7A860C7C"/>
    <w:rsid w:val="7AB879FE"/>
    <w:rsid w:val="7B22521E"/>
    <w:rsid w:val="7B3264DD"/>
    <w:rsid w:val="7B81188A"/>
    <w:rsid w:val="7B9E2902"/>
    <w:rsid w:val="7BC854E2"/>
    <w:rsid w:val="7BE2675B"/>
    <w:rsid w:val="7C0562EC"/>
    <w:rsid w:val="7C067A45"/>
    <w:rsid w:val="7C27683F"/>
    <w:rsid w:val="7C763BEE"/>
    <w:rsid w:val="7CB14B4D"/>
    <w:rsid w:val="7CF26969"/>
    <w:rsid w:val="7CF75832"/>
    <w:rsid w:val="7D25523C"/>
    <w:rsid w:val="7D697134"/>
    <w:rsid w:val="7DB23041"/>
    <w:rsid w:val="7DB54128"/>
    <w:rsid w:val="7E5F7809"/>
    <w:rsid w:val="7ED56C53"/>
    <w:rsid w:val="7EEA1BAF"/>
    <w:rsid w:val="7F5460D4"/>
    <w:rsid w:val="7F552892"/>
    <w:rsid w:val="7F945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autoRedefine/>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40">
    <w:name w:val="Default Paragraph Font"/>
    <w:autoRedefine/>
    <w:semiHidden/>
    <w:unhideWhenUsed/>
    <w:qFormat/>
    <w:uiPriority w:val="1"/>
  </w:style>
  <w:style w:type="table" w:default="1" w:styleId="38">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ind w:left="480"/>
      <w:jc w:val="left"/>
    </w:pPr>
    <w:rPr>
      <w:rFonts w:ascii="Calibri" w:hAnsi="Calibri" w:eastAsia="宋体" w:cs="Times New Roman"/>
      <w:i/>
      <w:iCs/>
      <w:sz w:val="20"/>
      <w:szCs w:val="20"/>
    </w:rPr>
  </w:style>
  <w:style w:type="paragraph" w:styleId="7">
    <w:name w:val="toc 7"/>
    <w:basedOn w:val="1"/>
    <w:next w:val="1"/>
    <w:autoRedefine/>
    <w:qFormat/>
    <w:uiPriority w:val="39"/>
    <w:pPr>
      <w:ind w:left="1440"/>
      <w:jc w:val="left"/>
    </w:pPr>
    <w:rPr>
      <w:rFonts w:ascii="Calibri" w:hAnsi="Calibri" w:eastAsia="宋体" w:cs="Times New Roman"/>
      <w:sz w:val="18"/>
      <w:szCs w:val="18"/>
    </w:rPr>
  </w:style>
  <w:style w:type="paragraph" w:styleId="8">
    <w:name w:val="caption"/>
    <w:basedOn w:val="1"/>
    <w:next w:val="1"/>
    <w:autoRedefine/>
    <w:qFormat/>
    <w:uiPriority w:val="35"/>
    <w:pPr>
      <w:spacing w:before="152" w:after="160"/>
    </w:pPr>
    <w:rPr>
      <w:rFonts w:ascii="Arial" w:hAnsi="Arial" w:eastAsia="黑体" w:cs="Arial"/>
      <w:sz w:val="20"/>
      <w:szCs w:val="20"/>
    </w:rPr>
  </w:style>
  <w:style w:type="paragraph" w:styleId="9">
    <w:name w:val="Document Map"/>
    <w:basedOn w:val="1"/>
    <w:link w:val="72"/>
    <w:autoRedefine/>
    <w:qFormat/>
    <w:uiPriority w:val="0"/>
    <w:pPr>
      <w:shd w:val="clear" w:color="auto" w:fill="000080"/>
    </w:pPr>
    <w:rPr>
      <w:sz w:val="24"/>
    </w:rPr>
  </w:style>
  <w:style w:type="paragraph" w:styleId="10">
    <w:name w:val="toa heading"/>
    <w:basedOn w:val="1"/>
    <w:next w:val="1"/>
    <w:autoRedefine/>
    <w:qFormat/>
    <w:uiPriority w:val="99"/>
    <w:pPr>
      <w:spacing w:before="120"/>
    </w:pPr>
    <w:rPr>
      <w:rFonts w:ascii="Arial" w:hAnsi="Arial" w:eastAsia="宋体" w:cs="Arial"/>
      <w:sz w:val="24"/>
      <w:szCs w:val="24"/>
    </w:rPr>
  </w:style>
  <w:style w:type="paragraph" w:styleId="11">
    <w:name w:val="annotation text"/>
    <w:basedOn w:val="1"/>
    <w:link w:val="63"/>
    <w:autoRedefine/>
    <w:qFormat/>
    <w:uiPriority w:val="0"/>
    <w:pPr>
      <w:jc w:val="left"/>
    </w:pPr>
  </w:style>
  <w:style w:type="paragraph" w:styleId="12">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5">
    <w:name w:val="index 4"/>
    <w:basedOn w:val="1"/>
    <w:next w:val="1"/>
    <w:autoRedefine/>
    <w:qFormat/>
    <w:uiPriority w:val="0"/>
    <w:pPr>
      <w:ind w:left="600" w:leftChars="600"/>
    </w:pPr>
  </w:style>
  <w:style w:type="paragraph" w:styleId="16">
    <w:name w:val="toc 5"/>
    <w:basedOn w:val="1"/>
    <w:next w:val="1"/>
    <w:autoRedefine/>
    <w:qFormat/>
    <w:uiPriority w:val="39"/>
    <w:pPr>
      <w:ind w:left="960"/>
      <w:jc w:val="left"/>
    </w:pPr>
    <w:rPr>
      <w:rFonts w:ascii="Calibri" w:hAnsi="Calibri" w:eastAsia="宋体" w:cs="Times New Roman"/>
      <w:sz w:val="18"/>
      <w:szCs w:val="18"/>
    </w:rPr>
  </w:style>
  <w:style w:type="paragraph" w:styleId="17">
    <w:name w:val="Plain Text"/>
    <w:basedOn w:val="1"/>
    <w:link w:val="74"/>
    <w:autoRedefine/>
    <w:qFormat/>
    <w:uiPriority w:val="0"/>
    <w:rPr>
      <w:rFonts w:ascii="宋体" w:hAnsi="Courier New"/>
    </w:rPr>
  </w:style>
  <w:style w:type="paragraph" w:styleId="18">
    <w:name w:val="toc 8"/>
    <w:basedOn w:val="1"/>
    <w:next w:val="1"/>
    <w:autoRedefine/>
    <w:qFormat/>
    <w:uiPriority w:val="39"/>
    <w:pPr>
      <w:ind w:left="1680"/>
      <w:jc w:val="left"/>
    </w:pPr>
    <w:rPr>
      <w:rFonts w:ascii="Calibri" w:hAnsi="Calibri" w:eastAsia="宋体" w:cs="Times New Roman"/>
      <w:sz w:val="18"/>
      <w:szCs w:val="18"/>
    </w:rPr>
  </w:style>
  <w:style w:type="paragraph" w:styleId="19">
    <w:name w:val="Date"/>
    <w:basedOn w:val="1"/>
    <w:next w:val="1"/>
    <w:link w:val="65"/>
    <w:autoRedefine/>
    <w:qFormat/>
    <w:uiPriority w:val="0"/>
    <w:pPr>
      <w:ind w:left="100" w:leftChars="2500"/>
    </w:pPr>
    <w:rPr>
      <w:sz w:val="24"/>
    </w:rPr>
  </w:style>
  <w:style w:type="paragraph" w:styleId="20">
    <w:name w:val="Body Text Indent 2"/>
    <w:basedOn w:val="1"/>
    <w:link w:val="53"/>
    <w:autoRedefine/>
    <w:qFormat/>
    <w:uiPriority w:val="0"/>
    <w:pPr>
      <w:spacing w:after="120" w:line="480" w:lineRule="auto"/>
      <w:ind w:left="420" w:leftChars="200"/>
    </w:pPr>
  </w:style>
  <w:style w:type="paragraph" w:styleId="21">
    <w:name w:val="Balloon Text"/>
    <w:basedOn w:val="1"/>
    <w:link w:val="69"/>
    <w:autoRedefine/>
    <w:qFormat/>
    <w:uiPriority w:val="0"/>
    <w:rPr>
      <w:sz w:val="18"/>
    </w:rPr>
  </w:style>
  <w:style w:type="paragraph" w:styleId="22">
    <w:name w:val="footer"/>
    <w:basedOn w:val="1"/>
    <w:link w:val="75"/>
    <w:autoRedefine/>
    <w:qFormat/>
    <w:uiPriority w:val="99"/>
    <w:pPr>
      <w:tabs>
        <w:tab w:val="center" w:pos="4153"/>
        <w:tab w:val="right" w:pos="8306"/>
      </w:tabs>
      <w:snapToGrid w:val="0"/>
      <w:jc w:val="left"/>
    </w:pPr>
    <w:rPr>
      <w:sz w:val="18"/>
    </w:rPr>
  </w:style>
  <w:style w:type="paragraph" w:styleId="23">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autoRedefine/>
    <w:qFormat/>
    <w:uiPriority w:val="39"/>
    <w:pPr>
      <w:ind w:left="720"/>
      <w:jc w:val="left"/>
    </w:pPr>
    <w:rPr>
      <w:rFonts w:ascii="Calibri" w:hAnsi="Calibri" w:eastAsia="宋体" w:cs="Times New Roman"/>
      <w:sz w:val="18"/>
      <w:szCs w:val="18"/>
    </w:rPr>
  </w:style>
  <w:style w:type="paragraph" w:styleId="26">
    <w:name w:val="Subtitle"/>
    <w:basedOn w:val="1"/>
    <w:autoRedefine/>
    <w:qFormat/>
    <w:uiPriority w:val="0"/>
    <w:pPr>
      <w:spacing w:before="240" w:after="60" w:line="312" w:lineRule="auto"/>
      <w:jc w:val="center"/>
      <w:outlineLvl w:val="1"/>
    </w:pPr>
    <w:rPr>
      <w:rFonts w:ascii="Cambria" w:hAnsi="Cambria"/>
      <w:b/>
      <w:bCs/>
      <w:kern w:val="28"/>
      <w:sz w:val="32"/>
      <w:szCs w:val="32"/>
    </w:rPr>
  </w:style>
  <w:style w:type="paragraph" w:styleId="27">
    <w:name w:val="List"/>
    <w:basedOn w:val="1"/>
    <w:autoRedefine/>
    <w:qFormat/>
    <w:uiPriority w:val="99"/>
    <w:pPr>
      <w:ind w:left="420" w:hanging="420"/>
    </w:pPr>
    <w:rPr>
      <w:rFonts w:ascii="Times New Roman" w:hAnsi="Times New Roman" w:eastAsia="宋体" w:cs="Times New Roman"/>
      <w:szCs w:val="20"/>
    </w:rPr>
  </w:style>
  <w:style w:type="paragraph" w:styleId="28">
    <w:name w:val="toc 6"/>
    <w:basedOn w:val="1"/>
    <w:next w:val="1"/>
    <w:autoRedefine/>
    <w:qFormat/>
    <w:uiPriority w:val="39"/>
    <w:pPr>
      <w:ind w:left="1200"/>
      <w:jc w:val="left"/>
    </w:pPr>
    <w:rPr>
      <w:rFonts w:ascii="Calibri" w:hAnsi="Calibri" w:eastAsia="宋体" w:cs="Times New Roman"/>
      <w:sz w:val="18"/>
      <w:szCs w:val="18"/>
    </w:rPr>
  </w:style>
  <w:style w:type="paragraph" w:styleId="29">
    <w:name w:val="Body Text Indent 3"/>
    <w:basedOn w:val="1"/>
    <w:link w:val="55"/>
    <w:autoRedefine/>
    <w:qFormat/>
    <w:uiPriority w:val="0"/>
    <w:pPr>
      <w:spacing w:after="120"/>
      <w:ind w:left="420" w:leftChars="200"/>
    </w:pPr>
    <w:rPr>
      <w:sz w:val="16"/>
    </w:rPr>
  </w:style>
  <w:style w:type="paragraph" w:styleId="30">
    <w:name w:val="index 9"/>
    <w:basedOn w:val="1"/>
    <w:next w:val="1"/>
    <w:autoRedefine/>
    <w:unhideWhenUsed/>
    <w:qFormat/>
    <w:uiPriority w:val="0"/>
    <w:pPr>
      <w:ind w:left="2520" w:hanging="280"/>
    </w:pPr>
    <w:rPr>
      <w:rFonts w:eastAsia="仿宋"/>
      <w:sz w:val="28"/>
    </w:rPr>
  </w:style>
  <w:style w:type="paragraph" w:styleId="31">
    <w:name w:val="toc 2"/>
    <w:basedOn w:val="1"/>
    <w:next w:val="1"/>
    <w:autoRedefine/>
    <w:unhideWhenUsed/>
    <w:qFormat/>
    <w:uiPriority w:val="39"/>
    <w:pPr>
      <w:ind w:left="420" w:leftChars="200"/>
    </w:pPr>
    <w:rPr>
      <w:rFonts w:ascii="Calibri" w:hAnsi="Calibri" w:eastAsia="宋体" w:cs="Times New Roman"/>
      <w:szCs w:val="20"/>
    </w:rPr>
  </w:style>
  <w:style w:type="paragraph" w:styleId="32">
    <w:name w:val="toc 9"/>
    <w:basedOn w:val="1"/>
    <w:next w:val="1"/>
    <w:autoRedefine/>
    <w:qFormat/>
    <w:uiPriority w:val="39"/>
    <w:pPr>
      <w:ind w:left="1920"/>
      <w:jc w:val="left"/>
    </w:pPr>
    <w:rPr>
      <w:rFonts w:ascii="Calibri" w:hAnsi="Calibri" w:eastAsia="宋体" w:cs="Times New Roman"/>
      <w:sz w:val="18"/>
      <w:szCs w:val="18"/>
    </w:rPr>
  </w:style>
  <w:style w:type="paragraph" w:styleId="33">
    <w:name w:val="Normal (Web)"/>
    <w:basedOn w:val="1"/>
    <w:autoRedefine/>
    <w:qFormat/>
    <w:uiPriority w:val="99"/>
    <w:rPr>
      <w:rFonts w:ascii="Calibri" w:hAnsi="Calibri" w:eastAsia="宋体" w:cs="Times New Roman"/>
      <w:sz w:val="24"/>
      <w:szCs w:val="20"/>
    </w:rPr>
  </w:style>
  <w:style w:type="paragraph" w:styleId="34">
    <w:name w:val="index 1"/>
    <w:basedOn w:val="1"/>
    <w:next w:val="1"/>
    <w:autoRedefine/>
    <w:qFormat/>
    <w:uiPriority w:val="99"/>
    <w:rPr>
      <w:rFonts w:ascii="Calibri" w:hAnsi="Calibri" w:eastAsia="宋体" w:cs="Times New Roman"/>
      <w:sz w:val="24"/>
      <w:szCs w:val="24"/>
    </w:rPr>
  </w:style>
  <w:style w:type="paragraph" w:styleId="35">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1"/>
    <w:next w:val="11"/>
    <w:link w:val="54"/>
    <w:autoRedefine/>
    <w:qFormat/>
    <w:uiPriority w:val="0"/>
    <w:rPr>
      <w:b/>
    </w:rPr>
  </w:style>
  <w:style w:type="paragraph" w:styleId="37">
    <w:name w:val="Body Text First Indent 2"/>
    <w:basedOn w:val="14"/>
    <w:autoRedefine/>
    <w:semiHidden/>
    <w:qFormat/>
    <w:uiPriority w:val="99"/>
    <w:pPr>
      <w:spacing w:line="276" w:lineRule="auto"/>
      <w:ind w:firstLine="420" w:firstLineChars="200"/>
      <w:jc w:val="left"/>
    </w:pPr>
  </w:style>
  <w:style w:type="table" w:styleId="39">
    <w:name w:val="Table Grid"/>
    <w:basedOn w:val="38"/>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autoRedefine/>
    <w:qFormat/>
    <w:uiPriority w:val="22"/>
    <w:rPr>
      <w:b/>
    </w:rPr>
  </w:style>
  <w:style w:type="character" w:styleId="42">
    <w:name w:val="page number"/>
    <w:basedOn w:val="40"/>
    <w:autoRedefine/>
    <w:qFormat/>
    <w:uiPriority w:val="99"/>
    <w:rPr>
      <w:rFonts w:cs="Times New Roman"/>
    </w:rPr>
  </w:style>
  <w:style w:type="character" w:styleId="43">
    <w:name w:val="FollowedHyperlink"/>
    <w:basedOn w:val="40"/>
    <w:autoRedefine/>
    <w:qFormat/>
    <w:uiPriority w:val="99"/>
    <w:rPr>
      <w:color w:val="800080"/>
      <w:u w:val="single"/>
    </w:rPr>
  </w:style>
  <w:style w:type="character" w:styleId="44">
    <w:name w:val="Emphasis"/>
    <w:autoRedefine/>
    <w:qFormat/>
    <w:uiPriority w:val="99"/>
    <w:rPr>
      <w:rFonts w:cs="Times New Roman"/>
      <w:color w:val="auto"/>
    </w:rPr>
  </w:style>
  <w:style w:type="character" w:styleId="45">
    <w:name w:val="HTML Acronym"/>
    <w:basedOn w:val="40"/>
    <w:autoRedefine/>
    <w:qFormat/>
    <w:uiPriority w:val="99"/>
  </w:style>
  <w:style w:type="character" w:styleId="46">
    <w:name w:val="Hyperlink"/>
    <w:basedOn w:val="40"/>
    <w:autoRedefine/>
    <w:qFormat/>
    <w:uiPriority w:val="99"/>
    <w:rPr>
      <w:color w:val="1F4F88"/>
      <w:u w:val="none"/>
    </w:rPr>
  </w:style>
  <w:style w:type="character" w:styleId="47">
    <w:name w:val="annotation reference"/>
    <w:basedOn w:val="40"/>
    <w:autoRedefine/>
    <w:qFormat/>
    <w:uiPriority w:val="99"/>
    <w:rPr>
      <w:sz w:val="21"/>
    </w:rPr>
  </w:style>
  <w:style w:type="paragraph" w:customStyle="1" w:styleId="48">
    <w:name w:val="首行缩进"/>
    <w:basedOn w:val="1"/>
    <w:autoRedefine/>
    <w:qFormat/>
    <w:uiPriority w:val="0"/>
    <w:pPr>
      <w:ind w:firstLine="480" w:firstLineChars="200"/>
    </w:pPr>
    <w:rPr>
      <w:lang w:val="zh-CN"/>
    </w:rPr>
  </w:style>
  <w:style w:type="character" w:customStyle="1" w:styleId="49">
    <w:name w:val="标题 1 字符"/>
    <w:basedOn w:val="40"/>
    <w:link w:val="2"/>
    <w:autoRedefine/>
    <w:qFormat/>
    <w:uiPriority w:val="9"/>
    <w:rPr>
      <w:rFonts w:ascii="Calibri" w:hAnsi="Calibri" w:eastAsia="宋体" w:cs="Times New Roman"/>
      <w:b/>
      <w:bCs/>
      <w:kern w:val="44"/>
      <w:sz w:val="36"/>
      <w:szCs w:val="44"/>
    </w:rPr>
  </w:style>
  <w:style w:type="character" w:customStyle="1" w:styleId="50">
    <w:name w:val="标题 2 字符"/>
    <w:basedOn w:val="40"/>
    <w:link w:val="4"/>
    <w:autoRedefine/>
    <w:qFormat/>
    <w:uiPriority w:val="9"/>
    <w:rPr>
      <w:rFonts w:ascii="Arial" w:hAnsi="Arial" w:eastAsia="宋体" w:cs="Times New Roman"/>
      <w:b/>
      <w:bCs/>
      <w:sz w:val="24"/>
      <w:szCs w:val="32"/>
    </w:rPr>
  </w:style>
  <w:style w:type="character" w:customStyle="1" w:styleId="51">
    <w:name w:val="标题 3 字符"/>
    <w:basedOn w:val="40"/>
    <w:link w:val="5"/>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字符"/>
    <w:link w:val="20"/>
    <w:autoRedefine/>
    <w:qFormat/>
    <w:locked/>
    <w:uiPriority w:val="0"/>
  </w:style>
  <w:style w:type="character" w:customStyle="1" w:styleId="54">
    <w:name w:val="批注主题 字符"/>
    <w:link w:val="36"/>
    <w:autoRedefine/>
    <w:qFormat/>
    <w:locked/>
    <w:uiPriority w:val="0"/>
    <w:rPr>
      <w:b/>
    </w:rPr>
  </w:style>
  <w:style w:type="character" w:customStyle="1" w:styleId="55">
    <w:name w:val="正文文本缩进 3 字符"/>
    <w:link w:val="29"/>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0"/>
    <w:autoRedefine/>
    <w:qFormat/>
    <w:uiPriority w:val="0"/>
    <w:rPr>
      <w:rFonts w:cs="Times New Roman"/>
    </w:rPr>
  </w:style>
  <w:style w:type="character" w:customStyle="1" w:styleId="61">
    <w:name w:val="页眉 字符"/>
    <w:link w:val="23"/>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字符"/>
    <w:link w:val="11"/>
    <w:autoRedefine/>
    <w:qFormat/>
    <w:locked/>
    <w:uiPriority w:val="0"/>
  </w:style>
  <w:style w:type="character" w:customStyle="1" w:styleId="64">
    <w:name w:val="标题 字符"/>
    <w:link w:val="35"/>
    <w:autoRedefine/>
    <w:qFormat/>
    <w:locked/>
    <w:uiPriority w:val="0"/>
    <w:rPr>
      <w:rFonts w:ascii="Arial" w:hAnsi="Arial"/>
      <w:b/>
      <w:sz w:val="32"/>
    </w:rPr>
  </w:style>
  <w:style w:type="character" w:customStyle="1" w:styleId="65">
    <w:name w:val="日期 字符"/>
    <w:link w:val="19"/>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字符"/>
    <w:link w:val="21"/>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字符"/>
    <w:link w:val="9"/>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字符"/>
    <w:link w:val="17"/>
    <w:autoRedefine/>
    <w:qFormat/>
    <w:locked/>
    <w:uiPriority w:val="0"/>
    <w:rPr>
      <w:rFonts w:ascii="宋体" w:hAnsi="Courier New"/>
    </w:rPr>
  </w:style>
  <w:style w:type="character" w:customStyle="1" w:styleId="75">
    <w:name w:val="页脚 字符"/>
    <w:link w:val="22"/>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0"/>
    <w:autoRedefine/>
    <w:semiHidden/>
    <w:qFormat/>
    <w:uiPriority w:val="99"/>
  </w:style>
  <w:style w:type="character" w:customStyle="1" w:styleId="80">
    <w:name w:val="批注文字 字符11"/>
    <w:basedOn w:val="40"/>
    <w:autoRedefine/>
    <w:qFormat/>
    <w:uiPriority w:val="0"/>
    <w:rPr>
      <w:rFonts w:cs="Times New Roman"/>
      <w:kern w:val="2"/>
      <w:sz w:val="21"/>
    </w:rPr>
  </w:style>
  <w:style w:type="character" w:customStyle="1" w:styleId="81">
    <w:name w:val="正文文本缩进 字符"/>
    <w:basedOn w:val="40"/>
    <w:link w:val="14"/>
    <w:autoRedefine/>
    <w:qFormat/>
    <w:uiPriority w:val="99"/>
    <w:rPr>
      <w:rFonts w:ascii="Calibri" w:hAnsi="Calibri" w:eastAsia="宋体" w:cs="Times New Roman"/>
      <w:szCs w:val="20"/>
    </w:rPr>
  </w:style>
  <w:style w:type="character" w:customStyle="1" w:styleId="82">
    <w:name w:val="文档结构图 字符1"/>
    <w:basedOn w:val="40"/>
    <w:autoRedefine/>
    <w:semiHidden/>
    <w:qFormat/>
    <w:uiPriority w:val="99"/>
    <w:rPr>
      <w:rFonts w:ascii="Microsoft YaHei UI" w:eastAsia="Microsoft YaHei UI"/>
      <w:sz w:val="18"/>
      <w:szCs w:val="18"/>
    </w:rPr>
  </w:style>
  <w:style w:type="character" w:customStyle="1" w:styleId="83">
    <w:name w:val="文档结构图 字符11"/>
    <w:basedOn w:val="40"/>
    <w:autoRedefine/>
    <w:semiHidden/>
    <w:qFormat/>
    <w:uiPriority w:val="99"/>
    <w:rPr>
      <w:rFonts w:ascii="Microsoft YaHei UI" w:eastAsia="Microsoft YaHei UI" w:cs="Times New Roman"/>
      <w:kern w:val="2"/>
      <w:sz w:val="18"/>
      <w:szCs w:val="18"/>
    </w:rPr>
  </w:style>
  <w:style w:type="character" w:customStyle="1" w:styleId="84">
    <w:name w:val="正文文本 字符"/>
    <w:basedOn w:val="40"/>
    <w:link w:val="13"/>
    <w:autoRedefine/>
    <w:qFormat/>
    <w:uiPriority w:val="99"/>
    <w:rPr>
      <w:rFonts w:ascii="Calibri" w:hAnsi="Calibri" w:eastAsia="新宋体" w:cs="Times New Roman"/>
      <w:szCs w:val="21"/>
    </w:rPr>
  </w:style>
  <w:style w:type="character" w:customStyle="1" w:styleId="85">
    <w:name w:val="纯文本 字符1"/>
    <w:basedOn w:val="40"/>
    <w:autoRedefine/>
    <w:semiHidden/>
    <w:qFormat/>
    <w:uiPriority w:val="99"/>
    <w:rPr>
      <w:rFonts w:hAnsi="Courier New" w:cs="Courier New" w:asciiTheme="minorEastAsia"/>
    </w:rPr>
  </w:style>
  <w:style w:type="character" w:customStyle="1" w:styleId="86">
    <w:name w:val="纯文本 字符11"/>
    <w:basedOn w:val="40"/>
    <w:autoRedefine/>
    <w:qFormat/>
    <w:uiPriority w:val="0"/>
    <w:rPr>
      <w:rFonts w:hAnsi="Courier New" w:cs="Courier New" w:asciiTheme="minorEastAsia" w:eastAsiaTheme="minorEastAsia"/>
      <w:kern w:val="2"/>
      <w:sz w:val="21"/>
    </w:rPr>
  </w:style>
  <w:style w:type="character" w:customStyle="1" w:styleId="87">
    <w:name w:val="页眉 字符1"/>
    <w:basedOn w:val="40"/>
    <w:autoRedefine/>
    <w:semiHidden/>
    <w:qFormat/>
    <w:uiPriority w:val="99"/>
    <w:rPr>
      <w:sz w:val="18"/>
      <w:szCs w:val="18"/>
    </w:rPr>
  </w:style>
  <w:style w:type="character" w:customStyle="1" w:styleId="88">
    <w:name w:val="页眉 字符11"/>
    <w:basedOn w:val="40"/>
    <w:autoRedefine/>
    <w:semiHidden/>
    <w:qFormat/>
    <w:uiPriority w:val="99"/>
    <w:rPr>
      <w:rFonts w:cs="Times New Roman"/>
      <w:kern w:val="2"/>
      <w:sz w:val="18"/>
      <w:szCs w:val="18"/>
    </w:rPr>
  </w:style>
  <w:style w:type="character" w:customStyle="1" w:styleId="89">
    <w:name w:val="批注框文本 字符1"/>
    <w:basedOn w:val="40"/>
    <w:autoRedefine/>
    <w:semiHidden/>
    <w:qFormat/>
    <w:uiPriority w:val="99"/>
    <w:rPr>
      <w:sz w:val="18"/>
      <w:szCs w:val="18"/>
    </w:rPr>
  </w:style>
  <w:style w:type="character" w:customStyle="1" w:styleId="90">
    <w:name w:val="批注框文本 字符11"/>
    <w:basedOn w:val="40"/>
    <w:autoRedefine/>
    <w:semiHidden/>
    <w:qFormat/>
    <w:uiPriority w:val="99"/>
    <w:rPr>
      <w:rFonts w:cs="Times New Roman"/>
      <w:kern w:val="2"/>
      <w:sz w:val="18"/>
      <w:szCs w:val="18"/>
    </w:rPr>
  </w:style>
  <w:style w:type="character" w:customStyle="1" w:styleId="91">
    <w:name w:val="日期 字符1"/>
    <w:basedOn w:val="40"/>
    <w:autoRedefine/>
    <w:semiHidden/>
    <w:qFormat/>
    <w:uiPriority w:val="99"/>
  </w:style>
  <w:style w:type="character" w:customStyle="1" w:styleId="92">
    <w:name w:val="日期 字符11"/>
    <w:basedOn w:val="40"/>
    <w:autoRedefine/>
    <w:semiHidden/>
    <w:qFormat/>
    <w:uiPriority w:val="99"/>
    <w:rPr>
      <w:rFonts w:cs="Times New Roman"/>
      <w:kern w:val="2"/>
      <w:sz w:val="21"/>
    </w:rPr>
  </w:style>
  <w:style w:type="character" w:customStyle="1" w:styleId="93">
    <w:name w:val="页脚 字符1"/>
    <w:basedOn w:val="40"/>
    <w:autoRedefine/>
    <w:semiHidden/>
    <w:qFormat/>
    <w:uiPriority w:val="99"/>
    <w:rPr>
      <w:sz w:val="18"/>
      <w:szCs w:val="18"/>
    </w:rPr>
  </w:style>
  <w:style w:type="character" w:customStyle="1" w:styleId="94">
    <w:name w:val="页脚 字符11"/>
    <w:basedOn w:val="40"/>
    <w:autoRedefine/>
    <w:semiHidden/>
    <w:qFormat/>
    <w:uiPriority w:val="99"/>
    <w:rPr>
      <w:rFonts w:cs="Times New Roman"/>
      <w:kern w:val="2"/>
      <w:sz w:val="18"/>
      <w:szCs w:val="18"/>
    </w:rPr>
  </w:style>
  <w:style w:type="character" w:customStyle="1" w:styleId="95">
    <w:name w:val="正文文本缩进 2 字符1"/>
    <w:basedOn w:val="40"/>
    <w:autoRedefine/>
    <w:semiHidden/>
    <w:qFormat/>
    <w:uiPriority w:val="99"/>
  </w:style>
  <w:style w:type="character" w:customStyle="1" w:styleId="96">
    <w:name w:val="正文文本缩进 2 字符11"/>
    <w:basedOn w:val="40"/>
    <w:autoRedefine/>
    <w:semiHidden/>
    <w:qFormat/>
    <w:uiPriority w:val="99"/>
    <w:rPr>
      <w:rFonts w:cs="Times New Roman"/>
      <w:kern w:val="2"/>
      <w:sz w:val="21"/>
    </w:rPr>
  </w:style>
  <w:style w:type="character" w:customStyle="1" w:styleId="97">
    <w:name w:val="正文文本缩进 3 字符1"/>
    <w:basedOn w:val="40"/>
    <w:autoRedefine/>
    <w:semiHidden/>
    <w:qFormat/>
    <w:uiPriority w:val="99"/>
    <w:rPr>
      <w:sz w:val="16"/>
      <w:szCs w:val="16"/>
    </w:rPr>
  </w:style>
  <w:style w:type="character" w:customStyle="1" w:styleId="98">
    <w:name w:val="正文文本缩进 3 字符11"/>
    <w:basedOn w:val="40"/>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0"/>
    <w:qFormat/>
    <w:uiPriority w:val="10"/>
    <w:rPr>
      <w:rFonts w:asciiTheme="majorHAnsi" w:hAnsiTheme="majorHAnsi" w:eastAsiaTheme="majorEastAsia" w:cstheme="majorBidi"/>
      <w:b/>
      <w:bCs/>
      <w:sz w:val="32"/>
      <w:szCs w:val="32"/>
    </w:rPr>
  </w:style>
  <w:style w:type="character" w:customStyle="1" w:styleId="102">
    <w:name w:val="标题 字符11"/>
    <w:basedOn w:val="40"/>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05"/>
    <w:next w:val="107"/>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章标题"/>
    <w:next w:val="106"/>
    <w:autoRedefine/>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7">
    <w:name w:val="0"/>
    <w:basedOn w:val="106"/>
    <w:autoRedefine/>
    <w:qFormat/>
    <w:uiPriority w:val="0"/>
  </w:style>
  <w:style w:type="paragraph" w:customStyle="1" w:styleId="108">
    <w:name w:val="二级列表 Char"/>
    <w:basedOn w:val="1"/>
    <w:autoRedefine/>
    <w:qFormat/>
    <w:uiPriority w:val="0"/>
    <w:rPr>
      <w:rFonts w:ascii="Calibri" w:hAnsi="Calibri" w:eastAsia="宋体" w:cs="Times New Roman"/>
      <w:szCs w:val="20"/>
    </w:rPr>
  </w:style>
  <w:style w:type="paragraph" w:customStyle="1" w:styleId="109">
    <w:name w:val="2"/>
    <w:basedOn w:val="110"/>
    <w:next w:val="107"/>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一级条标题"/>
    <w:basedOn w:val="105"/>
    <w:next w:val="106"/>
    <w:autoRedefine/>
    <w:qFormat/>
    <w:uiPriority w:val="0"/>
    <w:pPr>
      <w:numPr>
        <w:ilvl w:val="2"/>
      </w:numPr>
      <w:spacing w:beforeLines="0" w:afterLines="0"/>
      <w:outlineLvl w:val="2"/>
    </w:pPr>
  </w:style>
  <w:style w:type="paragraph" w:customStyle="1" w:styleId="111">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2">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3">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4">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5">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6">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7">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8">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9">
    <w:name w:val="标书正文格式"/>
    <w:basedOn w:val="17"/>
    <w:link w:val="121"/>
    <w:autoRedefine/>
    <w:qFormat/>
    <w:uiPriority w:val="0"/>
    <w:pPr>
      <w:spacing w:line="360" w:lineRule="auto"/>
      <w:ind w:firstLine="200" w:firstLineChars="200"/>
    </w:pPr>
    <w:rPr>
      <w:rFonts w:hAnsi="宋体"/>
      <w:color w:val="000000"/>
      <w:sz w:val="24"/>
      <w:szCs w:val="24"/>
    </w:rPr>
  </w:style>
  <w:style w:type="paragraph" w:customStyle="1" w:styleId="120">
    <w:name w:val="标书二级标题"/>
    <w:basedOn w:val="4"/>
    <w:link w:val="123"/>
    <w:autoRedefine/>
    <w:qFormat/>
    <w:uiPriority w:val="0"/>
    <w:pPr>
      <w:spacing w:line="240" w:lineRule="auto"/>
      <w:jc w:val="left"/>
    </w:pPr>
    <w:rPr>
      <w:rFonts w:ascii="宋体" w:hAnsi="宋体" w:eastAsia="黑体"/>
      <w:sz w:val="28"/>
      <w:szCs w:val="30"/>
    </w:rPr>
  </w:style>
  <w:style w:type="character" w:customStyle="1" w:styleId="121">
    <w:name w:val="标书正文格式 字符"/>
    <w:link w:val="119"/>
    <w:autoRedefine/>
    <w:qFormat/>
    <w:locked/>
    <w:uiPriority w:val="0"/>
    <w:rPr>
      <w:rFonts w:ascii="宋体" w:hAnsi="宋体"/>
      <w:color w:val="000000"/>
      <w:sz w:val="24"/>
      <w:szCs w:val="24"/>
    </w:rPr>
  </w:style>
  <w:style w:type="paragraph" w:customStyle="1" w:styleId="122">
    <w:name w:val="标书表格"/>
    <w:basedOn w:val="1"/>
    <w:link w:val="124"/>
    <w:autoRedefine/>
    <w:qFormat/>
    <w:uiPriority w:val="0"/>
    <w:pPr>
      <w:jc w:val="center"/>
    </w:pPr>
    <w:rPr>
      <w:rFonts w:ascii="Times New Roman" w:hAnsi="Times New Roman" w:eastAsia="宋体" w:cs="Times New Roman"/>
      <w:b/>
      <w:szCs w:val="20"/>
    </w:rPr>
  </w:style>
  <w:style w:type="character" w:customStyle="1" w:styleId="123">
    <w:name w:val="标书二级标题 字符"/>
    <w:link w:val="120"/>
    <w:autoRedefine/>
    <w:qFormat/>
    <w:locked/>
    <w:uiPriority w:val="0"/>
    <w:rPr>
      <w:rFonts w:ascii="宋体" w:hAnsi="宋体" w:eastAsia="黑体" w:cs="Times New Roman"/>
      <w:bCs/>
      <w:sz w:val="28"/>
      <w:szCs w:val="30"/>
    </w:rPr>
  </w:style>
  <w:style w:type="character" w:customStyle="1" w:styleId="124">
    <w:name w:val="标书表格 字符"/>
    <w:link w:val="122"/>
    <w:autoRedefine/>
    <w:qFormat/>
    <w:locked/>
    <w:uiPriority w:val="0"/>
    <w:rPr>
      <w:rFonts w:ascii="Times New Roman" w:hAnsi="Times New Roman" w:eastAsia="宋体" w:cs="Times New Roman"/>
      <w:b/>
      <w:szCs w:val="20"/>
    </w:rPr>
  </w:style>
  <w:style w:type="paragraph" w:customStyle="1" w:styleId="125">
    <w:name w:val="标书三级标题"/>
    <w:basedOn w:val="5"/>
    <w:next w:val="119"/>
    <w:link w:val="126"/>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6">
    <w:name w:val="标书三级标题 字符"/>
    <w:link w:val="125"/>
    <w:autoRedefine/>
    <w:qFormat/>
    <w:locked/>
    <w:uiPriority w:val="0"/>
    <w:rPr>
      <w:rFonts w:ascii="Times New Roman" w:hAnsi="Times New Roman" w:eastAsia="宋体" w:cs="Times New Roman"/>
      <w:b/>
      <w:bCs/>
      <w:color w:val="000000"/>
      <w:sz w:val="24"/>
      <w:szCs w:val="24"/>
    </w:rPr>
  </w:style>
  <w:style w:type="character" w:customStyle="1" w:styleId="127">
    <w:name w:val="标三级标题 字符"/>
    <w:link w:val="128"/>
    <w:autoRedefine/>
    <w:qFormat/>
    <w:locked/>
    <w:uiPriority w:val="0"/>
    <w:rPr>
      <w:b/>
      <w:color w:val="000000"/>
      <w:sz w:val="24"/>
    </w:rPr>
  </w:style>
  <w:style w:type="paragraph" w:customStyle="1" w:styleId="128">
    <w:name w:val="标三级标题"/>
    <w:basedOn w:val="125"/>
    <w:link w:val="127"/>
    <w:autoRedefine/>
    <w:qFormat/>
    <w:uiPriority w:val="0"/>
    <w:rPr>
      <w:rFonts w:asciiTheme="minorHAnsi" w:hAnsiTheme="minorHAnsi" w:eastAsiaTheme="minorEastAsia" w:cstheme="minorBidi"/>
      <w:bCs w:val="0"/>
      <w:szCs w:val="22"/>
    </w:rPr>
  </w:style>
  <w:style w:type="character" w:customStyle="1" w:styleId="129">
    <w:name w:val="标正文 字符"/>
    <w:link w:val="130"/>
    <w:autoRedefine/>
    <w:qFormat/>
    <w:locked/>
    <w:uiPriority w:val="0"/>
    <w:rPr>
      <w:rFonts w:ascii="宋体" w:eastAsia="宋体"/>
      <w:color w:val="000000"/>
      <w:sz w:val="24"/>
    </w:rPr>
  </w:style>
  <w:style w:type="paragraph" w:customStyle="1" w:styleId="130">
    <w:name w:val="标正文"/>
    <w:basedOn w:val="119"/>
    <w:link w:val="129"/>
    <w:autoRedefine/>
    <w:qFormat/>
    <w:uiPriority w:val="0"/>
    <w:pPr>
      <w:ind w:firstLine="480"/>
    </w:pPr>
    <w:rPr>
      <w:rFonts w:eastAsia="宋体" w:hAnsiTheme="minorHAnsi"/>
      <w:szCs w:val="22"/>
    </w:rPr>
  </w:style>
  <w:style w:type="paragraph" w:customStyle="1" w:styleId="131">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2">
    <w:name w:val="HR正文表格"/>
    <w:basedOn w:val="1"/>
    <w:autoRedefine/>
    <w:qFormat/>
    <w:uiPriority w:val="0"/>
    <w:pPr>
      <w:spacing w:beforeLines="25" w:afterLines="25" w:line="300" w:lineRule="auto"/>
    </w:pPr>
    <w:rPr>
      <w:szCs w:val="24"/>
    </w:rPr>
  </w:style>
  <w:style w:type="paragraph" w:styleId="133">
    <w:name w:val="List Paragraph"/>
    <w:basedOn w:val="1"/>
    <w:autoRedefine/>
    <w:qFormat/>
    <w:uiPriority w:val="99"/>
    <w:pPr>
      <w:ind w:firstLine="420" w:firstLineChars="200"/>
    </w:pPr>
  </w:style>
  <w:style w:type="paragraph" w:customStyle="1" w:styleId="134">
    <w:name w:val="WPSOffice手动目录 1"/>
    <w:autoRedefine/>
    <w:qFormat/>
    <w:uiPriority w:val="0"/>
    <w:rPr>
      <w:rFonts w:ascii="Times New Roman" w:hAnsi="Times New Roman" w:eastAsia="宋体" w:cs="Times New Roman"/>
      <w:lang w:val="en-US" w:eastAsia="zh-CN" w:bidi="ar-SA"/>
    </w:rPr>
  </w:style>
  <w:style w:type="table" w:customStyle="1" w:styleId="135">
    <w:name w:val="Table Normal"/>
    <w:autoRedefine/>
    <w:semiHidden/>
    <w:unhideWhenUsed/>
    <w:qFormat/>
    <w:uiPriority w:val="0"/>
    <w:tblPr>
      <w:tblCellMar>
        <w:top w:w="0" w:type="dxa"/>
        <w:left w:w="0" w:type="dxa"/>
        <w:bottom w:w="0" w:type="dxa"/>
        <w:right w:w="0" w:type="dxa"/>
      </w:tblCellMar>
    </w:tblPr>
  </w:style>
  <w:style w:type="character" w:customStyle="1" w:styleId="136">
    <w:name w:val="NormalCharacter"/>
    <w:autoRedefine/>
    <w:qFormat/>
    <w:uiPriority w:val="0"/>
  </w:style>
  <w:style w:type="paragraph" w:customStyle="1" w:styleId="137">
    <w:name w:val="Table Paragraph"/>
    <w:basedOn w:val="1"/>
    <w:autoRedefine/>
    <w:qFormat/>
    <w:uiPriority w:val="1"/>
    <w:rPr>
      <w:rFonts w:ascii="宋体" w:hAnsi="宋体" w:eastAsia="宋体" w:cs="宋体"/>
    </w:rPr>
  </w:style>
  <w:style w:type="paragraph" w:customStyle="1" w:styleId="138">
    <w:name w:val="标书一级标题"/>
    <w:basedOn w:val="2"/>
    <w:autoRedefine/>
    <w:qFormat/>
    <w:uiPriority w:val="0"/>
    <w:pPr>
      <w:spacing w:before="0" w:after="0" w:line="240" w:lineRule="auto"/>
      <w:jc w:val="center"/>
    </w:pPr>
    <w:rPr>
      <w:rFonts w:eastAsia="黑体"/>
      <w:b w:val="0"/>
      <w:color w:val="000000"/>
      <w:sz w:val="30"/>
      <w:szCs w:val="24"/>
    </w:rPr>
  </w:style>
  <w:style w:type="paragraph" w:customStyle="1" w:styleId="139">
    <w:name w:val="FAW正文"/>
    <w:basedOn w:val="1"/>
    <w:autoRedefine/>
    <w:qFormat/>
    <w:uiPriority w:val="99"/>
    <w:pPr>
      <w:spacing w:line="300" w:lineRule="auto"/>
      <w:ind w:firstLine="200" w:firstLineChars="200"/>
    </w:pPr>
    <w:rPr>
      <w:rFonts w:ascii="Calibri" w:hAnsi="Calibri"/>
      <w:sz w:val="24"/>
      <w:szCs w:val="24"/>
    </w:rPr>
  </w:style>
  <w:style w:type="character" w:customStyle="1" w:styleId="140">
    <w:name w:val="font11"/>
    <w:basedOn w:val="40"/>
    <w:autoRedefine/>
    <w:qFormat/>
    <w:uiPriority w:val="0"/>
    <w:rPr>
      <w:rFonts w:hint="eastAsia" w:ascii="宋体" w:hAnsi="宋体" w:eastAsia="宋体" w:cs="宋体"/>
      <w:b/>
      <w:bCs/>
      <w:color w:val="000000"/>
      <w:sz w:val="21"/>
      <w:szCs w:val="21"/>
      <w:u w:val="none"/>
    </w:rPr>
  </w:style>
  <w:style w:type="character" w:customStyle="1" w:styleId="141">
    <w:name w:val="font21"/>
    <w:basedOn w:val="40"/>
    <w:autoRedefine/>
    <w:qFormat/>
    <w:uiPriority w:val="0"/>
    <w:rPr>
      <w:rFonts w:hint="eastAsia" w:ascii="宋体" w:hAnsi="宋体" w:eastAsia="宋体" w:cs="宋体"/>
      <w:color w:val="000000"/>
      <w:sz w:val="21"/>
      <w:szCs w:val="21"/>
      <w:u w:val="none"/>
    </w:rPr>
  </w:style>
  <w:style w:type="character" w:customStyle="1" w:styleId="142">
    <w:name w:val="font31"/>
    <w:basedOn w:val="40"/>
    <w:autoRedefine/>
    <w:qFormat/>
    <w:uiPriority w:val="0"/>
    <w:rPr>
      <w:rFonts w:hint="eastAsia" w:ascii="宋体" w:hAnsi="宋体" w:eastAsia="宋体" w:cs="宋体"/>
      <w:color w:val="000000"/>
      <w:sz w:val="21"/>
      <w:szCs w:val="21"/>
      <w:u w:val="none"/>
    </w:rPr>
  </w:style>
  <w:style w:type="paragraph" w:customStyle="1" w:styleId="143">
    <w:name w:val="二级条标题"/>
    <w:basedOn w:val="110"/>
    <w:next w:val="106"/>
    <w:autoRedefine/>
    <w:qFormat/>
    <w:uiPriority w:val="0"/>
    <w:pPr>
      <w:numPr>
        <w:ilvl w:val="3"/>
      </w:numPr>
      <w:outlineLvl w:val="3"/>
    </w:pPr>
  </w:style>
  <w:style w:type="paragraph" w:customStyle="1" w:styleId="144">
    <w:name w:val="三级条标题"/>
    <w:basedOn w:val="143"/>
    <w:next w:val="106"/>
    <w:autoRedefine/>
    <w:qFormat/>
    <w:uiPriority w:val="0"/>
    <w:pPr>
      <w:numPr>
        <w:ilvl w:val="4"/>
      </w:numPr>
      <w:outlineLvl w:val="4"/>
    </w:pPr>
  </w:style>
  <w:style w:type="paragraph" w:customStyle="1" w:styleId="145">
    <w:name w:val="标准书脚_奇数页"/>
    <w:autoRedefine/>
    <w:qFormat/>
    <w:uiPriority w:val="0"/>
    <w:pPr>
      <w:spacing w:before="120"/>
      <w:jc w:val="right"/>
    </w:pPr>
    <w:rPr>
      <w:rFonts w:ascii="Times New Roman" w:hAnsi="Times New Roman" w:eastAsia="宋体" w:cs="Times New Roman"/>
      <w:sz w:val="18"/>
      <w:lang w:val="en-US" w:eastAsia="zh-CN" w:bidi="ar-SA"/>
    </w:rPr>
  </w:style>
  <w:style w:type="paragraph" w:customStyle="1" w:styleId="146">
    <w:name w:val="标准书脚_偶数页"/>
    <w:autoRedefine/>
    <w:qFormat/>
    <w:uiPriority w:val="0"/>
    <w:pPr>
      <w:spacing w:before="120"/>
    </w:pPr>
    <w:rPr>
      <w:rFonts w:ascii="Times New Roman" w:hAnsi="Times New Roman" w:eastAsia="宋体" w:cs="Times New Roman"/>
      <w:sz w:val="18"/>
      <w:lang w:val="en-US" w:eastAsia="zh-CN" w:bidi="ar-SA"/>
    </w:rPr>
  </w:style>
  <w:style w:type="paragraph" w:customStyle="1" w:styleId="147">
    <w:name w:val="封面正文"/>
    <w:autoRedefine/>
    <w:semiHidden/>
    <w:qFormat/>
    <w:uiPriority w:val="0"/>
    <w:pPr>
      <w:jc w:val="both"/>
    </w:pPr>
    <w:rPr>
      <w:rFonts w:ascii="Times New Roman" w:hAnsi="Times New Roman" w:eastAsia="宋体" w:cs="Times New Roman"/>
      <w:lang w:val="en-US" w:eastAsia="zh-CN" w:bidi="ar-SA"/>
    </w:rPr>
  </w:style>
  <w:style w:type="paragraph" w:customStyle="1" w:styleId="148">
    <w:name w:val="3.1"/>
    <w:basedOn w:val="143"/>
    <w:next w:val="107"/>
    <w:autoRedefine/>
    <w:qFormat/>
    <w:uiPriority w:val="0"/>
    <w:pPr>
      <w:spacing w:before="25" w:beforeLines="25" w:after="25" w:afterLines="25"/>
    </w:pPr>
  </w:style>
  <w:style w:type="paragraph" w:customStyle="1" w:styleId="149">
    <w:name w:val="_Style 1"/>
    <w:basedOn w:val="1"/>
    <w:autoRedefine/>
    <w:semiHidden/>
    <w:qFormat/>
    <w:uiPriority w:val="34"/>
    <w:pPr>
      <w:ind w:firstLine="420" w:firstLineChars="200"/>
    </w:pPr>
  </w:style>
  <w:style w:type="paragraph" w:customStyle="1" w:styleId="150">
    <w:name w:val="3.2"/>
    <w:basedOn w:val="143"/>
    <w:next w:val="107"/>
    <w:autoRedefine/>
    <w:qFormat/>
    <w:uiPriority w:val="0"/>
    <w:pPr>
      <w:numPr>
        <w:ilvl w:val="3"/>
        <w:numId w:val="1"/>
      </w:numPr>
      <w:spacing w:before="25" w:beforeLines="25" w:after="25" w:afterLines="25"/>
    </w:pPr>
    <w:rPr>
      <w:rFonts w:ascii="宋体" w:hAnsi="宋体" w:eastAsia="宋体"/>
    </w:rPr>
  </w:style>
  <w:style w:type="paragraph" w:customStyle="1" w:styleId="151">
    <w:name w:val="4"/>
    <w:basedOn w:val="143"/>
    <w:next w:val="107"/>
    <w:autoRedefine/>
    <w:qFormat/>
    <w:uiPriority w:val="0"/>
    <w:pPr>
      <w:numPr>
        <w:ilvl w:val="4"/>
        <w:numId w:val="1"/>
      </w:numPr>
      <w:outlineLvl w:val="4"/>
    </w:pPr>
    <w:rPr>
      <w:rFonts w:ascii="宋体" w:hAnsi="宋体" w:eastAsia="宋体"/>
      <w:color w:val="000000"/>
      <w:szCs w:val="21"/>
    </w:rPr>
  </w:style>
  <w:style w:type="paragraph" w:customStyle="1" w:styleId="152">
    <w:name w:val="其他发布部门"/>
    <w:basedOn w:val="153"/>
    <w:autoRedefine/>
    <w:semiHidden/>
    <w:qFormat/>
    <w:uiPriority w:val="0"/>
    <w:pPr>
      <w:spacing w:line="0" w:lineRule="atLeast"/>
    </w:pPr>
    <w:rPr>
      <w:rFonts w:ascii="黑体" w:eastAsia="黑体"/>
      <w:b w:val="0"/>
    </w:rPr>
  </w:style>
  <w:style w:type="paragraph" w:customStyle="1" w:styleId="153">
    <w:name w:val="发布部门"/>
    <w:next w:val="106"/>
    <w:autoRedefine/>
    <w:semiHidden/>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154">
    <w:name w:val="font01"/>
    <w:basedOn w:val="40"/>
    <w:autoRedefine/>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header" Target="header6.xml"/><Relationship Id="rId30" Type="http://schemas.openxmlformats.org/officeDocument/2006/relationships/header" Target="header5.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73</Pages>
  <Words>31288</Words>
  <Characters>32863</Characters>
  <Lines>1</Lines>
  <Paragraphs>1</Paragraphs>
  <TotalTime>4</TotalTime>
  <ScaleCrop>false</ScaleCrop>
  <LinksUpToDate>false</LinksUpToDate>
  <CharactersWithSpaces>38903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喻新</cp:lastModifiedBy>
  <cp:lastPrinted>2022-07-01T03:19:00Z</cp:lastPrinted>
  <dcterms:modified xsi:type="dcterms:W3CDTF">2024-04-25T06:14:28Z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5035C9CBC4184D29A655D3E07D53D953_13</vt:lpwstr>
  </property>
</Properties>
</file>