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sz w:val="48"/>
          <w:szCs w:val="48"/>
        </w:rPr>
      </w:pPr>
    </w:p>
    <w:p>
      <w:pPr>
        <w:spacing w:line="360" w:lineRule="auto"/>
        <w:jc w:val="center"/>
        <w:rPr>
          <w:rFonts w:hint="eastAsia" w:ascii="宋体" w:hAnsi="宋体"/>
          <w:sz w:val="48"/>
          <w:szCs w:val="48"/>
        </w:rPr>
      </w:pPr>
      <w:r>
        <w:rPr>
          <w:rFonts w:hint="eastAsia" w:ascii="宋体" w:hAnsi="宋体"/>
          <w:sz w:val="48"/>
          <w:szCs w:val="48"/>
        </w:rPr>
        <w:t>新《公司法》实施下国有企业</w:t>
      </w:r>
    </w:p>
    <w:p>
      <w:pPr>
        <w:spacing w:line="360" w:lineRule="auto"/>
        <w:jc w:val="center"/>
        <w:rPr>
          <w:rFonts w:hint="eastAsia" w:ascii="宋体" w:hAnsi="宋体"/>
          <w:sz w:val="48"/>
          <w:szCs w:val="48"/>
        </w:rPr>
      </w:pPr>
      <w:r>
        <w:rPr>
          <w:rFonts w:hint="eastAsia" w:ascii="宋体" w:hAnsi="宋体"/>
          <w:sz w:val="48"/>
          <w:szCs w:val="48"/>
        </w:rPr>
        <w:t>公司治理及</w:t>
      </w:r>
      <w:r>
        <w:rPr>
          <w:rFonts w:hint="eastAsia" w:ascii="宋体" w:hAnsi="宋体"/>
          <w:sz w:val="48"/>
          <w:szCs w:val="48"/>
          <w:lang w:val="en-US" w:eastAsia="zh-CN"/>
        </w:rPr>
        <w:t>董监高</w:t>
      </w:r>
      <w:r>
        <w:rPr>
          <w:rFonts w:hint="eastAsia" w:ascii="宋体" w:hAnsi="宋体"/>
          <w:sz w:val="48"/>
          <w:szCs w:val="48"/>
        </w:rPr>
        <w:t>职责重塑与挑战</w:t>
      </w:r>
    </w:p>
    <w:p>
      <w:pPr>
        <w:spacing w:line="360" w:lineRule="auto"/>
        <w:jc w:val="center"/>
        <w:rPr>
          <w:rFonts w:hint="eastAsia" w:ascii="宋体" w:hAnsi="宋体"/>
          <w:sz w:val="48"/>
          <w:szCs w:val="48"/>
        </w:rPr>
      </w:pPr>
    </w:p>
    <w:p>
      <w:pPr>
        <w:spacing w:line="360" w:lineRule="auto"/>
        <w:jc w:val="center"/>
        <w:rPr>
          <w:sz w:val="28"/>
          <w:szCs w:val="28"/>
        </w:rPr>
      </w:pPr>
    </w:p>
    <w:p>
      <w:pPr>
        <w:spacing w:line="360" w:lineRule="auto"/>
        <w:jc w:val="center"/>
        <w:rPr>
          <w:sz w:val="28"/>
          <w:szCs w:val="28"/>
        </w:rPr>
      </w:pPr>
    </w:p>
    <w:p>
      <w:pPr>
        <w:spacing w:line="360" w:lineRule="auto"/>
        <w:jc w:val="center"/>
        <w:rPr>
          <w:sz w:val="28"/>
          <w:szCs w:val="28"/>
        </w:rPr>
      </w:pPr>
    </w:p>
    <w:p>
      <w:pPr>
        <w:spacing w:line="360" w:lineRule="auto"/>
        <w:jc w:val="center"/>
        <w:rPr>
          <w:rFonts w:ascii="黑体" w:hAnsi="宋体" w:eastAsia="黑体"/>
          <w:sz w:val="84"/>
          <w:szCs w:val="84"/>
        </w:rPr>
      </w:pPr>
      <w:r>
        <w:rPr>
          <w:rFonts w:hint="eastAsia" w:ascii="黑体" w:hAnsi="宋体" w:eastAsia="黑体"/>
          <w:sz w:val="84"/>
          <w:szCs w:val="84"/>
        </w:rPr>
        <w:t>招</w:t>
      </w:r>
    </w:p>
    <w:p>
      <w:pPr>
        <w:spacing w:line="360" w:lineRule="auto"/>
        <w:jc w:val="center"/>
        <w:rPr>
          <w:rFonts w:ascii="黑体" w:hAnsi="宋体" w:eastAsia="黑体"/>
          <w:sz w:val="84"/>
          <w:szCs w:val="84"/>
        </w:rPr>
      </w:pPr>
    </w:p>
    <w:p>
      <w:pPr>
        <w:spacing w:line="360" w:lineRule="auto"/>
        <w:jc w:val="center"/>
        <w:rPr>
          <w:rFonts w:ascii="黑体" w:hAnsi="宋体" w:eastAsia="黑体"/>
          <w:sz w:val="84"/>
          <w:szCs w:val="84"/>
        </w:rPr>
      </w:pPr>
      <w:r>
        <w:rPr>
          <w:rFonts w:hint="eastAsia" w:ascii="黑体" w:hAnsi="宋体" w:eastAsia="黑体"/>
          <w:sz w:val="84"/>
          <w:szCs w:val="84"/>
        </w:rPr>
        <w:t>标</w:t>
      </w:r>
    </w:p>
    <w:p>
      <w:pPr>
        <w:spacing w:line="360" w:lineRule="auto"/>
        <w:jc w:val="center"/>
        <w:rPr>
          <w:rFonts w:ascii="黑体" w:hAnsi="宋体" w:eastAsia="黑体"/>
          <w:sz w:val="84"/>
          <w:szCs w:val="84"/>
        </w:rPr>
      </w:pPr>
    </w:p>
    <w:p>
      <w:pPr>
        <w:spacing w:line="360" w:lineRule="auto"/>
        <w:jc w:val="center"/>
        <w:rPr>
          <w:rFonts w:ascii="宋体" w:hAnsi="宋体"/>
          <w:sz w:val="72"/>
          <w:szCs w:val="72"/>
        </w:rPr>
      </w:pPr>
      <w:r>
        <w:rPr>
          <w:rFonts w:hint="eastAsia" w:ascii="黑体" w:hAnsi="宋体" w:eastAsia="黑体"/>
          <w:sz w:val="84"/>
          <w:szCs w:val="84"/>
        </w:rPr>
        <w:t>书</w:t>
      </w:r>
    </w:p>
    <w:p>
      <w:pPr>
        <w:spacing w:line="360" w:lineRule="auto"/>
        <w:jc w:val="center"/>
        <w:rPr>
          <w:rFonts w:ascii="宋体" w:hAnsi="宋体"/>
          <w:sz w:val="48"/>
          <w:szCs w:val="48"/>
        </w:rPr>
      </w:pPr>
    </w:p>
    <w:p>
      <w:pPr>
        <w:spacing w:line="360" w:lineRule="auto"/>
        <w:jc w:val="center"/>
        <w:rPr>
          <w:rFonts w:ascii="宋体" w:hAnsi="宋体"/>
          <w:sz w:val="28"/>
          <w:szCs w:val="28"/>
        </w:rPr>
      </w:pPr>
    </w:p>
    <w:p>
      <w:pPr>
        <w:spacing w:line="360" w:lineRule="auto"/>
        <w:jc w:val="center"/>
        <w:rPr>
          <w:rFonts w:ascii="宋体" w:hAnsi="宋体"/>
          <w:sz w:val="28"/>
          <w:szCs w:val="28"/>
        </w:rPr>
      </w:pPr>
    </w:p>
    <w:p>
      <w:pPr>
        <w:spacing w:line="360" w:lineRule="auto"/>
        <w:jc w:val="center"/>
        <w:rPr>
          <w:rFonts w:ascii="宋体" w:hAnsi="宋体"/>
          <w:sz w:val="28"/>
          <w:szCs w:val="28"/>
        </w:rPr>
      </w:pPr>
      <w:r>
        <w:rPr>
          <w:rFonts w:hint="eastAsia" w:ascii="宋体" w:hAnsi="宋体"/>
          <w:sz w:val="28"/>
          <w:szCs w:val="28"/>
        </w:rPr>
        <w:t>招 标 人：中国重汽集团济南动力有限公司</w:t>
      </w:r>
    </w:p>
    <w:p>
      <w:pPr>
        <w:spacing w:line="360" w:lineRule="auto"/>
        <w:jc w:val="center"/>
      </w:pPr>
      <w:r>
        <w:rPr>
          <w:rFonts w:hint="eastAsia" w:ascii="宋体" w:hAnsi="宋体"/>
          <w:sz w:val="28"/>
          <w:szCs w:val="28"/>
        </w:rPr>
        <w:t>20</w:t>
      </w:r>
      <w:r>
        <w:rPr>
          <w:rFonts w:ascii="宋体" w:hAnsi="宋体"/>
          <w:sz w:val="28"/>
          <w:szCs w:val="28"/>
        </w:rPr>
        <w:t>2</w:t>
      </w:r>
      <w:r>
        <w:rPr>
          <w:rFonts w:hint="eastAsia" w:ascii="宋体" w:hAnsi="宋体"/>
          <w:sz w:val="28"/>
          <w:szCs w:val="28"/>
          <w:lang w:val="en-US" w:eastAsia="zh-CN"/>
        </w:rPr>
        <w:t>4</w:t>
      </w:r>
      <w:r>
        <w:rPr>
          <w:rFonts w:hint="eastAsia" w:ascii="宋体" w:hAnsi="宋体"/>
          <w:sz w:val="28"/>
          <w:szCs w:val="28"/>
        </w:rPr>
        <w:t>年</w:t>
      </w:r>
      <w:r>
        <w:rPr>
          <w:rFonts w:hint="eastAsia" w:ascii="宋体" w:hAnsi="宋体"/>
          <w:sz w:val="28"/>
          <w:szCs w:val="28"/>
          <w:lang w:val="en-US" w:eastAsia="zh-CN"/>
        </w:rPr>
        <w:t>4</w:t>
      </w:r>
      <w:r>
        <w:rPr>
          <w:rFonts w:hint="eastAsia" w:ascii="宋体" w:hAnsi="宋体"/>
          <w:sz w:val="28"/>
          <w:szCs w:val="28"/>
        </w:rPr>
        <w:t>月</w:t>
      </w:r>
    </w:p>
    <w:p>
      <w:pPr>
        <w:spacing w:line="360" w:lineRule="auto"/>
        <w:jc w:val="center"/>
        <w:rPr>
          <w:rFonts w:eastAsia="黑体"/>
          <w:b/>
          <w:bCs/>
          <w:sz w:val="28"/>
        </w:rPr>
      </w:pPr>
      <w:r>
        <w:rPr>
          <w:rFonts w:hint="eastAsia" w:eastAsia="黑体"/>
          <w:b/>
          <w:bCs/>
          <w:sz w:val="28"/>
        </w:rPr>
        <w:t>第一章、招标文件</w:t>
      </w:r>
    </w:p>
    <w:p>
      <w:pPr>
        <w:pStyle w:val="8"/>
        <w:spacing w:line="360" w:lineRule="auto"/>
        <w:rPr>
          <w:rFonts w:ascii="黑体" w:eastAsia="黑体"/>
          <w:b/>
          <w:bCs/>
          <w:sz w:val="28"/>
        </w:rPr>
      </w:pPr>
      <w:r>
        <w:rPr>
          <w:rFonts w:hint="eastAsia" w:ascii="黑体" w:eastAsia="黑体"/>
          <w:b/>
          <w:bCs/>
          <w:sz w:val="28"/>
        </w:rPr>
        <w:t>一、项目名称</w:t>
      </w:r>
      <w:bookmarkStart w:id="0" w:name="OLE_LINK1"/>
    </w:p>
    <w:p>
      <w:pPr>
        <w:spacing w:line="360" w:lineRule="auto"/>
        <w:ind w:firstLine="420" w:firstLineChars="200"/>
        <w:jc w:val="both"/>
        <w:rPr>
          <w:rFonts w:hint="eastAsia" w:eastAsia="宋体"/>
          <w:lang w:eastAsia="zh-CN"/>
        </w:rPr>
      </w:pPr>
      <w:r>
        <w:rPr>
          <w:rFonts w:hint="eastAsia"/>
        </w:rPr>
        <w:t>项目名称：</w:t>
      </w:r>
      <w:bookmarkEnd w:id="0"/>
      <w:r>
        <w:rPr>
          <w:rFonts w:hint="eastAsia"/>
        </w:rPr>
        <w:t>新《公司法》实施下国有企业公司治理及</w:t>
      </w:r>
      <w:r>
        <w:rPr>
          <w:rFonts w:hint="eastAsia"/>
          <w:lang w:val="en-US" w:eastAsia="zh-CN"/>
        </w:rPr>
        <w:t>董监高</w:t>
      </w:r>
      <w:r>
        <w:rPr>
          <w:rFonts w:hint="eastAsia"/>
        </w:rPr>
        <w:t>职责重塑与挑战</w:t>
      </w:r>
      <w:r>
        <w:rPr>
          <w:rFonts w:hint="eastAsia"/>
          <w:lang w:eastAsia="zh-CN"/>
        </w:rPr>
        <w:t>。</w:t>
      </w:r>
    </w:p>
    <w:p>
      <w:pPr>
        <w:pStyle w:val="8"/>
        <w:spacing w:line="360" w:lineRule="auto"/>
        <w:rPr>
          <w:rFonts w:ascii="黑体" w:eastAsia="黑体"/>
          <w:b/>
          <w:bCs/>
          <w:sz w:val="28"/>
        </w:rPr>
      </w:pPr>
      <w:r>
        <w:rPr>
          <w:rFonts w:hint="eastAsia" w:ascii="黑体" w:eastAsia="黑体"/>
          <w:b/>
          <w:bCs/>
          <w:sz w:val="28"/>
        </w:rPr>
        <w:t>二、招标人及内容形式</w:t>
      </w:r>
    </w:p>
    <w:p>
      <w:pPr>
        <w:pStyle w:val="8"/>
        <w:spacing w:line="360" w:lineRule="auto"/>
        <w:ind w:firstLine="420" w:firstLineChars="200"/>
      </w:pPr>
      <w:r>
        <w:rPr>
          <w:rFonts w:hint="eastAsia"/>
        </w:rPr>
        <w:t>1.招标人：中国重汽集团济南动力有限公司。</w:t>
      </w:r>
    </w:p>
    <w:p>
      <w:pPr>
        <w:spacing w:line="360" w:lineRule="auto"/>
        <w:ind w:firstLine="420" w:firstLineChars="200"/>
        <w:rPr>
          <w:rFonts w:hint="eastAsia" w:ascii="宋体" w:hAnsi="Courier New" w:cstheme="minorBidi"/>
          <w:szCs w:val="22"/>
        </w:rPr>
      </w:pPr>
      <w:r>
        <w:t>2.</w:t>
      </w:r>
      <w:r>
        <w:rPr>
          <w:rFonts w:hint="eastAsia"/>
        </w:rPr>
        <w:t>招标</w:t>
      </w:r>
      <w:r>
        <w:rPr>
          <w:rFonts w:hint="eastAsia" w:ascii="宋体" w:hAnsi="Courier New" w:cstheme="minorBidi"/>
          <w:szCs w:val="22"/>
        </w:rPr>
        <w:t>内容：系统讲解国有企业公司治理与董监高履职规范，着力提升公司治理运作质效</w:t>
      </w:r>
      <w:r>
        <w:rPr>
          <w:rFonts w:hint="eastAsia" w:ascii="宋体" w:hAnsi="Courier New" w:cstheme="minorBidi"/>
          <w:szCs w:val="22"/>
          <w:lang w:eastAsia="zh-CN"/>
        </w:rPr>
        <w:t>；</w:t>
      </w:r>
      <w:r>
        <w:rPr>
          <w:rFonts w:hint="eastAsia" w:ascii="宋体" w:hAnsi="Courier New" w:cstheme="minorBidi"/>
          <w:szCs w:val="22"/>
          <w:lang w:val="en-US" w:eastAsia="zh-CN"/>
        </w:rPr>
        <w:t>新《</w:t>
      </w:r>
      <w:r>
        <w:rPr>
          <w:rFonts w:hint="eastAsia" w:ascii="宋体" w:hAnsi="Courier New" w:cstheme="minorBidi"/>
          <w:szCs w:val="22"/>
        </w:rPr>
        <w:t>公司法</w:t>
      </w:r>
      <w:r>
        <w:rPr>
          <w:rFonts w:hint="eastAsia" w:ascii="宋体" w:hAnsi="Courier New" w:cstheme="minorBidi"/>
          <w:szCs w:val="22"/>
          <w:lang w:val="en-US" w:eastAsia="zh-CN"/>
        </w:rPr>
        <w:t>》</w:t>
      </w:r>
      <w:r>
        <w:rPr>
          <w:rFonts w:hint="eastAsia" w:ascii="宋体" w:hAnsi="Courier New" w:cstheme="minorBidi"/>
          <w:szCs w:val="22"/>
        </w:rPr>
        <w:t>中对董监高相关职责规定</w:t>
      </w:r>
      <w:r>
        <w:rPr>
          <w:rFonts w:hint="eastAsia" w:ascii="宋体" w:hAnsi="Courier New" w:cstheme="minorBidi"/>
          <w:szCs w:val="22"/>
          <w:lang w:val="en-US" w:eastAsia="zh-CN"/>
        </w:rPr>
        <w:t>变化</w:t>
      </w:r>
      <w:r>
        <w:rPr>
          <w:rFonts w:hint="eastAsia" w:ascii="宋体" w:hAnsi="Courier New" w:cstheme="minorBidi"/>
          <w:szCs w:val="22"/>
        </w:rPr>
        <w:t>与</w:t>
      </w:r>
      <w:r>
        <w:rPr>
          <w:rFonts w:hint="eastAsia" w:ascii="宋体" w:hAnsi="Courier New" w:cstheme="minorBidi"/>
          <w:szCs w:val="22"/>
          <w:lang w:val="en-US" w:eastAsia="zh-CN"/>
        </w:rPr>
        <w:t>履职案例分析</w:t>
      </w:r>
      <w:r>
        <w:rPr>
          <w:rFonts w:hint="eastAsia" w:ascii="宋体" w:hAnsi="Courier New" w:cstheme="minorBidi"/>
          <w:szCs w:val="22"/>
          <w:lang w:eastAsia="zh-CN"/>
        </w:rPr>
        <w:t>；</w:t>
      </w:r>
      <w:r>
        <w:rPr>
          <w:rFonts w:hint="eastAsia" w:ascii="宋体" w:hAnsi="Courier New" w:cstheme="minorBidi"/>
          <w:szCs w:val="22"/>
          <w:lang w:val="en-US" w:eastAsia="zh-CN"/>
        </w:rPr>
        <w:t>新《</w:t>
      </w:r>
      <w:r>
        <w:rPr>
          <w:rFonts w:hint="eastAsia" w:ascii="宋体" w:hAnsi="Courier New" w:cstheme="minorBidi"/>
          <w:szCs w:val="22"/>
        </w:rPr>
        <w:t>公司法</w:t>
      </w:r>
      <w:r>
        <w:rPr>
          <w:rFonts w:hint="eastAsia" w:ascii="宋体" w:hAnsi="Courier New" w:cstheme="minorBidi"/>
          <w:szCs w:val="22"/>
          <w:lang w:val="en-US" w:eastAsia="zh-CN"/>
        </w:rPr>
        <w:t>》实施下对</w:t>
      </w:r>
      <w:r>
        <w:rPr>
          <w:rFonts w:hint="eastAsia" w:ascii="宋体" w:hAnsi="Courier New" w:cstheme="minorBidi"/>
          <w:szCs w:val="22"/>
        </w:rPr>
        <w:t>国有企业公司治理及</w:t>
      </w:r>
      <w:r>
        <w:rPr>
          <w:rFonts w:hint="eastAsia" w:ascii="宋体" w:hAnsi="Courier New" w:cstheme="minorBidi"/>
          <w:szCs w:val="22"/>
          <w:lang w:val="en-US" w:eastAsia="zh-CN"/>
        </w:rPr>
        <w:t>董监高</w:t>
      </w:r>
      <w:r>
        <w:rPr>
          <w:rFonts w:hint="eastAsia" w:ascii="宋体" w:hAnsi="Courier New" w:cstheme="minorBidi"/>
          <w:szCs w:val="22"/>
        </w:rPr>
        <w:t>职责重塑与挑战等公司治理相关课程培训。</w:t>
      </w:r>
    </w:p>
    <w:p>
      <w:pPr>
        <w:spacing w:line="360" w:lineRule="auto"/>
        <w:ind w:firstLine="420" w:firstLineChars="200"/>
        <w:rPr>
          <w:rFonts w:hint="eastAsia" w:ascii="宋体" w:hAnsi="Courier New" w:cstheme="minorBidi"/>
          <w:szCs w:val="22"/>
        </w:rPr>
      </w:pPr>
      <w:r>
        <w:rPr>
          <w:rFonts w:hint="eastAsia" w:ascii="宋体" w:hAnsi="Courier New" w:cstheme="minorBidi"/>
          <w:szCs w:val="22"/>
        </w:rPr>
        <w:t>3.招标形式：</w:t>
      </w:r>
      <w:r>
        <w:rPr>
          <w:rFonts w:hint="eastAsia" w:ascii="宋体" w:hAnsi="Courier New" w:cstheme="minorBidi"/>
          <w:szCs w:val="22"/>
          <w:lang w:val="en-US" w:eastAsia="zh-CN"/>
        </w:rPr>
        <w:t>公开</w:t>
      </w:r>
      <w:r>
        <w:rPr>
          <w:rFonts w:hint="eastAsia" w:ascii="宋体" w:hAnsi="Courier New" w:cstheme="minorBidi"/>
          <w:szCs w:val="22"/>
        </w:rPr>
        <w:t>招标。</w:t>
      </w:r>
    </w:p>
    <w:p>
      <w:pPr>
        <w:spacing w:line="360" w:lineRule="auto"/>
        <w:ind w:firstLine="420" w:firstLineChars="200"/>
        <w:rPr>
          <w:rFonts w:ascii="宋体" w:hAnsi="Courier New" w:cstheme="minorBidi"/>
          <w:szCs w:val="22"/>
        </w:rPr>
      </w:pPr>
      <w:r>
        <w:rPr>
          <w:rFonts w:ascii="宋体" w:hAnsi="Courier New" w:cstheme="minorBidi"/>
          <w:szCs w:val="22"/>
        </w:rPr>
        <w:t>4</w:t>
      </w:r>
      <w:r>
        <w:rPr>
          <w:rFonts w:hint="eastAsia" w:ascii="宋体" w:hAnsi="Courier New" w:cstheme="minorBidi"/>
          <w:szCs w:val="22"/>
        </w:rPr>
        <w:t>.预期效果：使受众深刻理解</w:t>
      </w:r>
      <w:r>
        <w:rPr>
          <w:rFonts w:hint="eastAsia" w:ascii="宋体" w:hAnsi="Courier New" w:cstheme="minorBidi"/>
          <w:szCs w:val="22"/>
          <w:lang w:val="en-US" w:eastAsia="zh-CN"/>
        </w:rPr>
        <w:t>新</w:t>
      </w:r>
      <w:r>
        <w:rPr>
          <w:rFonts w:hint="eastAsia" w:ascii="宋体" w:hAnsi="Courier New" w:cstheme="minorBidi"/>
          <w:szCs w:val="22"/>
          <w:lang w:eastAsia="zh-CN"/>
        </w:rPr>
        <w:t>《</w:t>
      </w:r>
      <w:r>
        <w:rPr>
          <w:rFonts w:hint="eastAsia" w:ascii="宋体" w:hAnsi="Courier New" w:cstheme="minorBidi"/>
          <w:szCs w:val="22"/>
          <w:lang w:val="en-US" w:eastAsia="zh-CN"/>
        </w:rPr>
        <w:t>公司法</w:t>
      </w:r>
      <w:r>
        <w:rPr>
          <w:rFonts w:hint="eastAsia" w:ascii="宋体" w:hAnsi="Courier New" w:cstheme="minorBidi"/>
          <w:szCs w:val="22"/>
          <w:lang w:eastAsia="zh-CN"/>
        </w:rPr>
        <w:t>》</w:t>
      </w:r>
      <w:r>
        <w:rPr>
          <w:rFonts w:hint="eastAsia" w:ascii="宋体" w:hAnsi="Courier New" w:cstheme="minorBidi"/>
          <w:szCs w:val="22"/>
          <w:lang w:val="en-US" w:eastAsia="zh-CN"/>
        </w:rPr>
        <w:t>实施下</w:t>
      </w:r>
      <w:r>
        <w:rPr>
          <w:rFonts w:hint="eastAsia" w:ascii="宋体" w:hAnsi="Courier New" w:cstheme="minorBidi"/>
          <w:szCs w:val="22"/>
        </w:rPr>
        <w:t>公司治理的内涵</w:t>
      </w:r>
      <w:r>
        <w:rPr>
          <w:rFonts w:hint="eastAsia" w:ascii="宋体" w:hAnsi="Courier New" w:cstheme="minorBidi"/>
          <w:szCs w:val="22"/>
          <w:lang w:val="en-US" w:eastAsia="zh-CN"/>
        </w:rPr>
        <w:t>及</w:t>
      </w:r>
      <w:r>
        <w:rPr>
          <w:rFonts w:hint="eastAsia" w:ascii="宋体" w:hAnsi="Courier New" w:cstheme="minorBidi"/>
          <w:szCs w:val="22"/>
        </w:rPr>
        <w:t>结构</w:t>
      </w:r>
      <w:r>
        <w:rPr>
          <w:rFonts w:hint="eastAsia" w:ascii="宋体" w:hAnsi="Courier New" w:cstheme="minorBidi"/>
          <w:szCs w:val="22"/>
          <w:lang w:val="en-US" w:eastAsia="zh-CN"/>
        </w:rPr>
        <w:t>调整</w:t>
      </w:r>
      <w:r>
        <w:rPr>
          <w:rFonts w:hint="eastAsia" w:ascii="宋体" w:hAnsi="Courier New" w:cstheme="minorBidi"/>
          <w:szCs w:val="22"/>
        </w:rPr>
        <w:t>；深刻理解</w:t>
      </w:r>
      <w:r>
        <w:rPr>
          <w:rFonts w:hint="eastAsia" w:ascii="宋体" w:hAnsi="Courier New" w:cstheme="minorBidi"/>
          <w:szCs w:val="22"/>
          <w:lang w:val="en-US" w:eastAsia="zh-CN"/>
        </w:rPr>
        <w:t>新</w:t>
      </w:r>
      <w:r>
        <w:rPr>
          <w:rFonts w:hint="eastAsia" w:ascii="宋体" w:hAnsi="Courier New" w:cstheme="minorBidi"/>
          <w:szCs w:val="22"/>
          <w:lang w:eastAsia="zh-CN"/>
        </w:rPr>
        <w:t>《</w:t>
      </w:r>
      <w:r>
        <w:rPr>
          <w:rFonts w:hint="eastAsia" w:ascii="宋体" w:hAnsi="Courier New" w:cstheme="minorBidi"/>
          <w:szCs w:val="22"/>
          <w:lang w:val="en-US" w:eastAsia="zh-CN"/>
        </w:rPr>
        <w:t>公司法</w:t>
      </w:r>
      <w:r>
        <w:rPr>
          <w:rFonts w:hint="eastAsia" w:ascii="宋体" w:hAnsi="Courier New" w:cstheme="minorBidi"/>
          <w:szCs w:val="22"/>
          <w:lang w:eastAsia="zh-CN"/>
        </w:rPr>
        <w:t>》</w:t>
      </w:r>
      <w:r>
        <w:rPr>
          <w:rFonts w:hint="eastAsia" w:ascii="宋体" w:hAnsi="Courier New" w:cstheme="minorBidi"/>
          <w:szCs w:val="22"/>
          <w:lang w:val="en-US" w:eastAsia="zh-CN"/>
        </w:rPr>
        <w:t>实施下</w:t>
      </w:r>
      <w:r>
        <w:rPr>
          <w:rFonts w:hint="eastAsia" w:ascii="宋体" w:hAnsi="Courier New" w:cstheme="minorBidi"/>
          <w:szCs w:val="22"/>
        </w:rPr>
        <w:t>董监高</w:t>
      </w:r>
      <w:r>
        <w:rPr>
          <w:rFonts w:hint="eastAsia" w:ascii="宋体" w:hAnsi="Courier New" w:cstheme="minorBidi"/>
          <w:szCs w:val="22"/>
          <w:lang w:val="en-US" w:eastAsia="zh-CN"/>
        </w:rPr>
        <w:t>权利与义务</w:t>
      </w:r>
      <w:r>
        <w:rPr>
          <w:rFonts w:hint="eastAsia" w:ascii="宋体" w:hAnsi="Courier New" w:cstheme="minorBidi"/>
          <w:szCs w:val="22"/>
        </w:rPr>
        <w:t>应用要点；深刻理解</w:t>
      </w:r>
      <w:r>
        <w:rPr>
          <w:rFonts w:hint="eastAsia" w:ascii="宋体" w:hAnsi="Courier New" w:cstheme="minorBidi"/>
          <w:szCs w:val="22"/>
          <w:lang w:val="en-US" w:eastAsia="zh-CN"/>
        </w:rPr>
        <w:t>新</w:t>
      </w:r>
      <w:r>
        <w:rPr>
          <w:rFonts w:hint="eastAsia" w:ascii="宋体" w:hAnsi="Courier New" w:cstheme="minorBidi"/>
          <w:szCs w:val="22"/>
          <w:lang w:eastAsia="zh-CN"/>
        </w:rPr>
        <w:t>《</w:t>
      </w:r>
      <w:r>
        <w:rPr>
          <w:rFonts w:hint="eastAsia" w:ascii="宋体" w:hAnsi="Courier New" w:cstheme="minorBidi"/>
          <w:szCs w:val="22"/>
          <w:lang w:val="en-US" w:eastAsia="zh-CN"/>
        </w:rPr>
        <w:t>公司法</w:t>
      </w:r>
      <w:r>
        <w:rPr>
          <w:rFonts w:hint="eastAsia" w:ascii="宋体" w:hAnsi="Courier New" w:cstheme="minorBidi"/>
          <w:szCs w:val="22"/>
          <w:lang w:eastAsia="zh-CN"/>
        </w:rPr>
        <w:t>》</w:t>
      </w:r>
      <w:r>
        <w:rPr>
          <w:rFonts w:hint="eastAsia" w:ascii="宋体" w:hAnsi="Courier New" w:cstheme="minorBidi"/>
          <w:szCs w:val="22"/>
          <w:lang w:val="en-US" w:eastAsia="zh-CN"/>
        </w:rPr>
        <w:t>实施下股东会、</w:t>
      </w:r>
      <w:r>
        <w:rPr>
          <w:rFonts w:hint="eastAsia" w:ascii="宋体" w:hAnsi="Courier New" w:cstheme="minorBidi"/>
          <w:szCs w:val="22"/>
        </w:rPr>
        <w:t>董事会和监事会的运作</w:t>
      </w:r>
      <w:r>
        <w:rPr>
          <w:rFonts w:hint="eastAsia" w:ascii="宋体" w:hAnsi="Courier New" w:cstheme="minorBidi"/>
          <w:szCs w:val="22"/>
          <w:lang w:val="en-US" w:eastAsia="zh-CN"/>
        </w:rPr>
        <w:t>变化</w:t>
      </w:r>
      <w:r>
        <w:rPr>
          <w:rFonts w:hint="eastAsia" w:ascii="宋体" w:hAnsi="Courier New" w:cstheme="minorBidi"/>
          <w:szCs w:val="22"/>
        </w:rPr>
        <w:t>；了解</w:t>
      </w:r>
      <w:r>
        <w:rPr>
          <w:rFonts w:hint="eastAsia" w:ascii="宋体" w:hAnsi="Courier New" w:cstheme="minorBidi"/>
          <w:szCs w:val="22"/>
          <w:lang w:val="en-US" w:eastAsia="zh-CN"/>
        </w:rPr>
        <w:t>国有企业</w:t>
      </w:r>
      <w:r>
        <w:rPr>
          <w:rFonts w:hint="eastAsia" w:ascii="宋体" w:hAnsi="Courier New" w:cstheme="minorBidi"/>
          <w:szCs w:val="22"/>
        </w:rPr>
        <w:t>公司治理</w:t>
      </w:r>
      <w:r>
        <w:rPr>
          <w:rFonts w:hint="eastAsia" w:ascii="宋体" w:hAnsi="Courier New" w:cstheme="minorBidi"/>
          <w:szCs w:val="22"/>
          <w:lang w:val="en-US" w:eastAsia="zh-CN"/>
        </w:rPr>
        <w:t>未来</w:t>
      </w:r>
      <w:r>
        <w:rPr>
          <w:rFonts w:hint="eastAsia" w:ascii="宋体" w:hAnsi="Courier New" w:cstheme="minorBidi"/>
          <w:szCs w:val="22"/>
        </w:rPr>
        <w:t>发展趋势。</w:t>
      </w:r>
    </w:p>
    <w:p>
      <w:pPr>
        <w:pStyle w:val="8"/>
        <w:spacing w:line="360" w:lineRule="auto"/>
        <w:rPr>
          <w:rFonts w:ascii="黑体" w:eastAsia="黑体"/>
          <w:b/>
          <w:bCs/>
          <w:sz w:val="28"/>
        </w:rPr>
      </w:pPr>
      <w:r>
        <w:rPr>
          <w:rFonts w:hint="eastAsia" w:ascii="黑体" w:eastAsia="黑体"/>
          <w:b/>
          <w:bCs/>
          <w:sz w:val="28"/>
        </w:rPr>
        <w:t>三、服务及付款</w:t>
      </w:r>
    </w:p>
    <w:p>
      <w:pPr>
        <w:pStyle w:val="8"/>
        <w:spacing w:line="360" w:lineRule="auto"/>
        <w:ind w:firstLine="420" w:firstLineChars="200"/>
      </w:pPr>
      <w:r>
        <w:rPr>
          <w:rFonts w:hint="eastAsia"/>
        </w:rPr>
        <w:t>1.服务地点：中国重汽科技大厦园区。</w:t>
      </w:r>
    </w:p>
    <w:p>
      <w:pPr>
        <w:pStyle w:val="8"/>
        <w:spacing w:line="360" w:lineRule="auto"/>
        <w:ind w:firstLine="420" w:firstLineChars="200"/>
      </w:pPr>
      <w:r>
        <w:rPr>
          <w:rFonts w:hint="eastAsia"/>
        </w:rPr>
        <w:t>2.服务时间：202</w:t>
      </w:r>
      <w:r>
        <w:rPr>
          <w:rFonts w:hint="eastAsia"/>
          <w:lang w:val="en-US" w:eastAsia="zh-CN"/>
        </w:rPr>
        <w:t>4</w:t>
      </w:r>
      <w:r>
        <w:rPr>
          <w:rFonts w:hint="eastAsia"/>
        </w:rPr>
        <w:t>年</w:t>
      </w:r>
      <w:r>
        <w:rPr>
          <w:rFonts w:hint="eastAsia"/>
          <w:lang w:val="en-US" w:eastAsia="zh-CN"/>
        </w:rPr>
        <w:t>5</w:t>
      </w:r>
      <w:r>
        <w:rPr>
          <w:rFonts w:hint="eastAsia"/>
        </w:rPr>
        <w:t>月底（具体时间以中标后合同约定的时间为准）。</w:t>
      </w:r>
    </w:p>
    <w:p>
      <w:pPr>
        <w:pStyle w:val="8"/>
        <w:spacing w:line="360" w:lineRule="auto"/>
        <w:ind w:firstLine="420" w:firstLineChars="200"/>
      </w:pPr>
      <w:r>
        <w:rPr>
          <w:rFonts w:hint="eastAsia"/>
        </w:rPr>
        <w:t>3.付款条件：签署合同并成功完成活动，且活动过程中无明显纰漏，经甲方对活动完成情况进行确认后，根据费用实际发生情况结算。</w:t>
      </w:r>
    </w:p>
    <w:p>
      <w:pPr>
        <w:pStyle w:val="8"/>
        <w:spacing w:line="360" w:lineRule="auto"/>
        <w:ind w:firstLine="420" w:firstLineChars="200"/>
      </w:pPr>
      <w:r>
        <w:rPr>
          <w:rFonts w:hint="eastAsia"/>
        </w:rPr>
        <w:t>4.付款方式：半年期商业汇票。乙方按照合同约定提供培训服务并经甲方确认合格后，向甲方开具符合法律规定的增值税专用发票，甲方收到发票后30个工作日内支付发票载明的采购费用，具体付款时间，以双方签订的合同约定为准。</w:t>
      </w:r>
    </w:p>
    <w:p>
      <w:pPr>
        <w:pStyle w:val="8"/>
        <w:spacing w:line="360" w:lineRule="auto"/>
        <w:rPr>
          <w:rFonts w:ascii="黑体" w:eastAsia="黑体"/>
          <w:b/>
          <w:bCs/>
          <w:sz w:val="28"/>
        </w:rPr>
      </w:pPr>
      <w:r>
        <w:rPr>
          <w:rFonts w:hint="eastAsia" w:ascii="黑体" w:eastAsia="黑体"/>
          <w:b/>
          <w:bCs/>
          <w:sz w:val="28"/>
        </w:rPr>
        <w:t>四、投标说明</w:t>
      </w:r>
    </w:p>
    <w:p>
      <w:pPr>
        <w:pStyle w:val="8"/>
        <w:spacing w:line="360" w:lineRule="auto"/>
        <w:ind w:left="0" w:leftChars="0" w:firstLine="420" w:firstLineChars="200"/>
        <w:rPr>
          <w:rFonts w:hint="eastAsia" w:ascii="宋体" w:hAnsi="Courier New" w:eastAsia="宋体"/>
          <w:szCs w:val="21"/>
        </w:rPr>
      </w:pPr>
      <w:r>
        <w:rPr>
          <w:rFonts w:hint="eastAsia" w:ascii="宋体" w:hAnsi="Courier New" w:eastAsia="宋体"/>
          <w:szCs w:val="21"/>
        </w:rPr>
        <w:t>1.报名方式</w:t>
      </w:r>
    </w:p>
    <w:p>
      <w:pPr>
        <w:pStyle w:val="8"/>
        <w:spacing w:line="360" w:lineRule="auto"/>
        <w:ind w:firstLine="420" w:firstLineChars="200"/>
        <w:rPr>
          <w:rFonts w:hint="eastAsia" w:ascii="宋体" w:hAnsi="Courier New" w:eastAsia="宋体" w:cstheme="minorBidi"/>
          <w:i w:val="0"/>
          <w:iCs w:val="0"/>
          <w:caps w:val="0"/>
          <w:spacing w:val="0"/>
          <w:sz w:val="21"/>
          <w:szCs w:val="21"/>
          <w:u w:val="none"/>
          <w:shd w:val="clear"/>
          <w:lang w:val="en-US" w:eastAsia="zh-CN"/>
        </w:rPr>
      </w:pPr>
      <w:r>
        <w:rPr>
          <w:rFonts w:hint="eastAsia" w:ascii="宋体" w:hAnsi="Courier New" w:eastAsia="宋体" w:cstheme="minorBidi"/>
          <w:sz w:val="21"/>
          <w:szCs w:val="21"/>
        </w:rPr>
        <w:t>凡有意参加投标者，请于20</w:t>
      </w:r>
      <w:r>
        <w:rPr>
          <w:rFonts w:hint="eastAsia" w:ascii="宋体" w:hAnsi="Courier New" w:eastAsia="宋体" w:cstheme="minorBidi"/>
          <w:sz w:val="21"/>
          <w:szCs w:val="21"/>
          <w:lang w:val="en-US" w:eastAsia="zh-CN"/>
        </w:rPr>
        <w:t>24</w:t>
      </w:r>
      <w:r>
        <w:rPr>
          <w:rFonts w:hint="eastAsia" w:ascii="宋体" w:hAnsi="Courier New" w:eastAsia="宋体" w:cstheme="minorBidi"/>
          <w:sz w:val="21"/>
          <w:szCs w:val="21"/>
        </w:rPr>
        <w:t>年</w:t>
      </w:r>
      <w:r>
        <w:rPr>
          <w:rFonts w:hint="eastAsia" w:ascii="宋体" w:hAnsi="Courier New" w:eastAsia="宋体" w:cstheme="minorBidi"/>
          <w:sz w:val="21"/>
          <w:szCs w:val="21"/>
          <w:u w:val="none"/>
          <w:lang w:val="en-US" w:eastAsia="zh-CN"/>
        </w:rPr>
        <w:t>4</w:t>
      </w:r>
      <w:r>
        <w:rPr>
          <w:rFonts w:hint="eastAsia" w:ascii="宋体" w:hAnsi="Courier New" w:eastAsia="宋体" w:cstheme="minorBidi"/>
          <w:sz w:val="21"/>
          <w:szCs w:val="21"/>
        </w:rPr>
        <w:t>月</w:t>
      </w:r>
      <w:r>
        <w:rPr>
          <w:rFonts w:hint="eastAsia" w:cstheme="minorBidi"/>
          <w:sz w:val="21"/>
          <w:szCs w:val="21"/>
          <w:u w:val="none"/>
          <w:lang w:val="en-US" w:eastAsia="zh-CN"/>
        </w:rPr>
        <w:t>29</w:t>
      </w:r>
      <w:r>
        <w:rPr>
          <w:rFonts w:hint="eastAsia" w:ascii="宋体" w:hAnsi="Courier New" w:eastAsia="宋体" w:cstheme="minorBidi"/>
          <w:sz w:val="21"/>
          <w:szCs w:val="21"/>
        </w:rPr>
        <w:t>日</w:t>
      </w:r>
      <w:r>
        <w:rPr>
          <w:rFonts w:hint="eastAsia" w:cs="Times New Roman"/>
          <w:lang w:val="en-US" w:eastAsia="zh-CN"/>
        </w:rPr>
        <w:t>1</w:t>
      </w:r>
      <w:r>
        <w:rPr>
          <w:rFonts w:hint="eastAsia" w:ascii="宋体" w:eastAsia="宋体" w:cs="Times New Roman"/>
        </w:rPr>
        <w:t>9:00时</w:t>
      </w:r>
      <w:r>
        <w:rPr>
          <w:rFonts w:hint="eastAsia" w:ascii="宋体" w:hAnsi="Courier New" w:eastAsia="宋体" w:cstheme="minorBidi"/>
          <w:sz w:val="21"/>
          <w:szCs w:val="21"/>
        </w:rPr>
        <w:t>前</w:t>
      </w:r>
      <w:r>
        <w:rPr>
          <w:rFonts w:hint="eastAsia" w:ascii="宋体" w:hAnsi="Courier New" w:eastAsia="宋体" w:cstheme="minorBidi"/>
          <w:sz w:val="21"/>
          <w:szCs w:val="21"/>
          <w:lang w:val="en-US" w:eastAsia="zh-CN"/>
        </w:rPr>
        <w:t>在</w:t>
      </w:r>
      <w:r>
        <w:rPr>
          <w:rFonts w:hint="eastAsia" w:ascii="宋体" w:hAnsi="Courier New" w:eastAsia="宋体" w:cstheme="minorBidi"/>
          <w:b w:val="0"/>
          <w:bCs w:val="0"/>
          <w:sz w:val="21"/>
          <w:szCs w:val="21"/>
          <w:lang w:val="en-US" w:eastAsia="zh-CN"/>
        </w:rPr>
        <w:t>重汽e采通</w:t>
      </w:r>
      <w:r>
        <w:rPr>
          <w:rFonts w:hint="eastAsia" w:ascii="宋体" w:hAnsi="Courier New" w:eastAsia="宋体" w:cstheme="minorBidi"/>
          <w:sz w:val="21"/>
          <w:szCs w:val="21"/>
          <w:lang w:val="en-US" w:eastAsia="zh-CN"/>
        </w:rPr>
        <w:t>完成</w:t>
      </w:r>
      <w:r>
        <w:rPr>
          <w:rFonts w:hint="eastAsia" w:ascii="宋体" w:hAnsi="Courier New" w:eastAsia="宋体" w:cstheme="minorBidi"/>
          <w:sz w:val="21"/>
          <w:szCs w:val="21"/>
          <w:lang w:eastAsia="zh-CN"/>
        </w:rPr>
        <w:t>应标，并</w:t>
      </w:r>
      <w:r>
        <w:rPr>
          <w:rFonts w:hint="eastAsia" w:ascii="宋体" w:hAnsi="Courier New" w:eastAsia="宋体" w:cstheme="minorBidi"/>
          <w:sz w:val="21"/>
          <w:szCs w:val="21"/>
          <w:lang w:val="en-US" w:eastAsia="zh-CN"/>
        </w:rPr>
        <w:t>按应标要求</w:t>
      </w:r>
      <w:r>
        <w:rPr>
          <w:rFonts w:hint="eastAsia" w:ascii="宋体" w:hAnsi="Courier New" w:eastAsia="宋体" w:cstheme="minorBidi"/>
          <w:sz w:val="21"/>
          <w:szCs w:val="21"/>
          <w:lang w:eastAsia="zh-CN"/>
        </w:rPr>
        <w:t>递交各种报名手续进行初审，</w:t>
      </w:r>
      <w:r>
        <w:rPr>
          <w:rFonts w:hint="eastAsia" w:ascii="宋体" w:hAnsi="Courier New" w:eastAsia="宋体" w:cstheme="minorBidi"/>
          <w:sz w:val="21"/>
          <w:szCs w:val="21"/>
          <w:lang w:val="en-US" w:eastAsia="zh-CN"/>
        </w:rPr>
        <w:t>应标前，</w:t>
      </w:r>
      <w:r>
        <w:rPr>
          <w:rFonts w:hint="eastAsia" w:ascii="宋体" w:hAnsi="Courier New" w:eastAsia="宋体" w:cstheme="minorBidi"/>
          <w:i w:val="0"/>
          <w:iCs w:val="0"/>
          <w:caps w:val="0"/>
          <w:spacing w:val="0"/>
          <w:sz w:val="21"/>
          <w:szCs w:val="21"/>
          <w:shd w:val="clear"/>
        </w:rPr>
        <w:t>请务必仔细阅读</w:t>
      </w:r>
      <w:r>
        <w:rPr>
          <w:rFonts w:hint="eastAsia" w:ascii="宋体" w:hAnsi="Courier New" w:eastAsia="宋体" w:cstheme="minorBidi"/>
          <w:i w:val="0"/>
          <w:iCs w:val="0"/>
          <w:caps w:val="0"/>
          <w:spacing w:val="0"/>
          <w:sz w:val="21"/>
          <w:szCs w:val="21"/>
          <w:u w:val="none"/>
          <w:shd w:val="clear"/>
        </w:rPr>
        <w:t>供应商用户手册</w:t>
      </w:r>
      <w:r>
        <w:rPr>
          <w:rFonts w:hint="eastAsia" w:ascii="宋体" w:hAnsi="Courier New" w:eastAsia="宋体" w:cstheme="minorBidi"/>
          <w:i w:val="0"/>
          <w:iCs w:val="0"/>
          <w:caps w:val="0"/>
          <w:spacing w:val="0"/>
          <w:sz w:val="21"/>
          <w:szCs w:val="21"/>
          <w:u w:val="none"/>
          <w:shd w:val="clear"/>
          <w:lang w:eastAsia="zh-CN"/>
        </w:rPr>
        <w:t>。</w:t>
      </w:r>
    </w:p>
    <w:p>
      <w:pPr>
        <w:pStyle w:val="8"/>
        <w:spacing w:line="360" w:lineRule="auto"/>
        <w:ind w:firstLine="420" w:firstLineChars="200"/>
        <w:rPr>
          <w:rFonts w:hint="eastAsia" w:ascii="宋体" w:hAnsi="Courier New" w:eastAsia="宋体" w:cstheme="minorBidi"/>
          <w:sz w:val="21"/>
          <w:szCs w:val="21"/>
          <w:lang w:eastAsia="zh-CN"/>
        </w:rPr>
      </w:pPr>
      <w:r>
        <w:rPr>
          <w:rFonts w:hint="eastAsia" w:ascii="宋体" w:hAnsi="Courier New" w:eastAsia="宋体" w:cstheme="minorBidi"/>
          <w:sz w:val="21"/>
          <w:szCs w:val="21"/>
          <w:lang w:val="en-US" w:eastAsia="zh-CN"/>
        </w:rPr>
        <w:t>重汽E采通网址：</w:t>
      </w:r>
      <w:r>
        <w:rPr>
          <w:rFonts w:hint="eastAsia" w:ascii="宋体" w:hAnsi="Courier New" w:eastAsia="宋体" w:cstheme="minorBidi"/>
          <w:sz w:val="21"/>
          <w:szCs w:val="21"/>
          <w:lang w:eastAsia="zh-CN"/>
        </w:rPr>
        <w:fldChar w:fldCharType="begin"/>
      </w:r>
      <w:r>
        <w:rPr>
          <w:rFonts w:hint="eastAsia" w:ascii="宋体" w:hAnsi="Courier New" w:eastAsia="宋体" w:cstheme="minorBidi"/>
          <w:sz w:val="21"/>
          <w:szCs w:val="21"/>
          <w:lang w:eastAsia="zh-CN"/>
        </w:rPr>
        <w:instrText xml:space="preserve"> HYPERLINK "http://ecaitong.sinotruk.com:8012/#/login" </w:instrText>
      </w:r>
      <w:r>
        <w:rPr>
          <w:rFonts w:hint="eastAsia" w:ascii="宋体" w:hAnsi="Courier New" w:eastAsia="宋体" w:cstheme="minorBidi"/>
          <w:sz w:val="21"/>
          <w:szCs w:val="21"/>
          <w:lang w:eastAsia="zh-CN"/>
        </w:rPr>
        <w:fldChar w:fldCharType="separate"/>
      </w:r>
      <w:r>
        <w:rPr>
          <w:rFonts w:hint="eastAsia" w:ascii="宋体" w:hAnsi="Courier New" w:eastAsia="宋体" w:cstheme="minorBidi"/>
          <w:sz w:val="21"/>
          <w:szCs w:val="21"/>
          <w:lang w:eastAsia="zh-CN"/>
        </w:rPr>
        <w:t>http://ecaitong.sinotruk.com:8012/#/login</w:t>
      </w:r>
      <w:r>
        <w:rPr>
          <w:rFonts w:hint="eastAsia" w:ascii="宋体" w:hAnsi="Courier New" w:eastAsia="宋体" w:cstheme="minorBidi"/>
          <w:sz w:val="21"/>
          <w:szCs w:val="21"/>
          <w:lang w:eastAsia="zh-CN"/>
        </w:rPr>
        <w:fldChar w:fldCharType="end"/>
      </w:r>
    </w:p>
    <w:p>
      <w:pPr>
        <w:pStyle w:val="8"/>
        <w:spacing w:line="360" w:lineRule="auto"/>
        <w:ind w:left="0" w:leftChars="0" w:firstLine="420" w:firstLineChars="200"/>
        <w:rPr>
          <w:rFonts w:hint="eastAsia" w:ascii="宋体" w:hAnsi="Courier New" w:eastAsia="宋体"/>
          <w:szCs w:val="21"/>
        </w:rPr>
      </w:pPr>
      <w:r>
        <w:rPr>
          <w:rFonts w:hint="eastAsia" w:ascii="宋体" w:hAnsi="Courier New" w:eastAsia="宋体"/>
          <w:szCs w:val="21"/>
        </w:rPr>
        <w:t>2.投标条件</w:t>
      </w:r>
    </w:p>
    <w:p>
      <w:pPr>
        <w:pStyle w:val="8"/>
        <w:spacing w:line="360" w:lineRule="auto"/>
        <w:ind w:left="0" w:leftChars="0" w:firstLine="420" w:firstLineChars="200"/>
        <w:rPr>
          <w:rFonts w:hAnsi="宋体"/>
        </w:rPr>
      </w:pPr>
      <w:r>
        <w:rPr>
          <w:rFonts w:hint="eastAsia" w:ascii="宋体" w:hAnsi="Courier New" w:eastAsia="宋体"/>
          <w:szCs w:val="21"/>
        </w:rPr>
        <w:t>所有拟投标人需满足以下条件，并经招标人审核通过后方可获得</w:t>
      </w:r>
      <w:r>
        <w:rPr>
          <w:rFonts w:hint="eastAsia" w:hAnsi="宋体"/>
        </w:rPr>
        <w:t>该项目的投标资格：</w:t>
      </w:r>
    </w:p>
    <w:p>
      <w:pPr>
        <w:pStyle w:val="8"/>
        <w:spacing w:line="360" w:lineRule="auto"/>
        <w:ind w:firstLine="420" w:firstLineChars="200"/>
        <w:rPr>
          <w:rFonts w:hint="default" w:eastAsia="宋体"/>
          <w:b/>
          <w:lang w:val="en-US" w:eastAsia="zh-CN"/>
        </w:rPr>
      </w:pPr>
      <w:r>
        <w:rPr>
          <w:rFonts w:hint="eastAsia"/>
          <w:szCs w:val="21"/>
        </w:rPr>
        <w:t>（1）拟标投人须是企业法人，必须是在中华人民共和国境内注册的独立法人机构，具有独立承担民事责任能力，</w:t>
      </w:r>
      <w:r>
        <w:rPr>
          <w:rFonts w:hAnsi="宋体"/>
          <w:szCs w:val="21"/>
        </w:rPr>
        <w:t>在人员、</w:t>
      </w:r>
      <w:r>
        <w:rPr>
          <w:rFonts w:hint="eastAsia" w:hAnsi="宋体"/>
          <w:szCs w:val="21"/>
        </w:rPr>
        <w:t>资源</w:t>
      </w:r>
      <w:r>
        <w:rPr>
          <w:rFonts w:hAnsi="宋体"/>
          <w:szCs w:val="21"/>
        </w:rPr>
        <w:t>、资金等方面具有承担本</w:t>
      </w:r>
      <w:r>
        <w:rPr>
          <w:rFonts w:hint="eastAsia" w:hAnsi="宋体"/>
          <w:szCs w:val="21"/>
        </w:rPr>
        <w:t>项目</w:t>
      </w:r>
      <w:r>
        <w:rPr>
          <w:rFonts w:hAnsi="宋体"/>
          <w:szCs w:val="21"/>
        </w:rPr>
        <w:t>的能力</w:t>
      </w:r>
      <w:r>
        <w:rPr>
          <w:rFonts w:hint="eastAsia" w:hAnsi="宋体"/>
          <w:szCs w:val="21"/>
          <w:lang w:eastAsia="zh-CN"/>
        </w:rPr>
        <w:t>，</w:t>
      </w:r>
      <w:r>
        <w:rPr>
          <w:rFonts w:hint="eastAsia" w:hAnsi="宋体"/>
          <w:szCs w:val="21"/>
          <w:lang w:val="en-US" w:eastAsia="zh-CN"/>
        </w:rPr>
        <w:t>拟投标人注册资金应不低于50</w:t>
      </w:r>
      <w:bookmarkStart w:id="22" w:name="_GoBack"/>
      <w:bookmarkEnd w:id="22"/>
      <w:r>
        <w:rPr>
          <w:rFonts w:hint="eastAsia" w:hAnsi="宋体"/>
          <w:szCs w:val="21"/>
          <w:lang w:val="en-US" w:eastAsia="zh-CN"/>
        </w:rPr>
        <w:t>万元人民币。</w:t>
      </w:r>
    </w:p>
    <w:p>
      <w:pPr>
        <w:pStyle w:val="8"/>
        <w:spacing w:line="360" w:lineRule="auto"/>
        <w:ind w:firstLine="315" w:firstLineChars="150"/>
        <w:rPr>
          <w:szCs w:val="21"/>
        </w:rPr>
      </w:pPr>
      <w:r>
        <w:rPr>
          <w:rFonts w:hint="eastAsia"/>
          <w:szCs w:val="21"/>
        </w:rPr>
        <w:t>（2）拟投标企业应提供三证合一的营业执照原件或加盖公章复印件；</w:t>
      </w:r>
    </w:p>
    <w:p>
      <w:pPr>
        <w:pStyle w:val="8"/>
        <w:spacing w:line="360" w:lineRule="auto"/>
        <w:ind w:firstLine="315" w:firstLineChars="150"/>
        <w:rPr>
          <w:rFonts w:hint="eastAsia"/>
          <w:szCs w:val="21"/>
        </w:rPr>
      </w:pPr>
      <w:r>
        <w:rPr>
          <w:rFonts w:hint="eastAsia"/>
          <w:szCs w:val="21"/>
        </w:rPr>
        <w:t>（3）拟投标企业应提供法定代表人资格证明，拟投标事业单位或社会团体提供登记证书或授权投标文件原件；</w:t>
      </w:r>
    </w:p>
    <w:p>
      <w:pPr>
        <w:pStyle w:val="8"/>
        <w:spacing w:line="360" w:lineRule="auto"/>
        <w:ind w:firstLine="310" w:firstLineChars="148"/>
        <w:rPr>
          <w:rFonts w:hint="eastAsia" w:hAnsi="宋体"/>
        </w:rPr>
      </w:pPr>
      <w:r>
        <w:rPr>
          <w:rFonts w:hint="eastAsia" w:hAnsi="宋体"/>
        </w:rPr>
        <w:t>（</w:t>
      </w:r>
      <w:r>
        <w:rPr>
          <w:rFonts w:hint="eastAsia" w:hAnsi="宋体"/>
          <w:lang w:val="en-US" w:eastAsia="zh-CN"/>
        </w:rPr>
        <w:t>4</w:t>
      </w:r>
      <w:r>
        <w:rPr>
          <w:rFonts w:hint="eastAsia" w:hAnsi="宋体"/>
        </w:rPr>
        <w:t>）拟投标人在工商行政管理局的《国家企业信用信息公示系统》中查询不存在不良记录，不存在严重违规或被列入招标人“黑名单”。</w:t>
      </w:r>
    </w:p>
    <w:p>
      <w:pPr>
        <w:pStyle w:val="8"/>
        <w:spacing w:line="360" w:lineRule="auto"/>
        <w:ind w:firstLine="315" w:firstLineChars="150"/>
        <w:rPr>
          <w:rFonts w:hint="eastAsia"/>
          <w:szCs w:val="21"/>
        </w:rPr>
      </w:pPr>
      <w:r>
        <w:rPr>
          <w:rFonts w:hint="eastAsia"/>
          <w:szCs w:val="21"/>
          <w:lang w:val="en-US" w:eastAsia="zh-CN"/>
        </w:rPr>
        <w:t>（5）投标人应提供</w:t>
      </w:r>
      <w:r>
        <w:rPr>
          <w:rFonts w:hint="eastAsia"/>
          <w:szCs w:val="21"/>
        </w:rPr>
        <w:t>近</w:t>
      </w:r>
      <w:r>
        <w:rPr>
          <w:rFonts w:hint="eastAsia"/>
          <w:szCs w:val="21"/>
          <w:lang w:val="en-US" w:eastAsia="zh-CN"/>
        </w:rPr>
        <w:t>三年经第三方机构审计的</w:t>
      </w:r>
      <w:r>
        <w:rPr>
          <w:rFonts w:hint="eastAsia"/>
          <w:szCs w:val="21"/>
        </w:rPr>
        <w:t>财务报表（</w:t>
      </w:r>
      <w:r>
        <w:rPr>
          <w:rFonts w:hint="eastAsia"/>
          <w:szCs w:val="21"/>
          <w:lang w:val="en-US" w:eastAsia="zh-CN"/>
        </w:rPr>
        <w:t>报告页、</w:t>
      </w:r>
      <w:r>
        <w:rPr>
          <w:rFonts w:hint="eastAsia"/>
          <w:szCs w:val="21"/>
        </w:rPr>
        <w:t>资产负债表、损益表、现金流量表）复印件（需加盖公章），（如投标人公司没有经审计的财务报告，可提供加盖公章的近三年财务报表，包括但不限于资产负债表、利润表、现金流量表），必须连续，且未显示异常；</w:t>
      </w:r>
    </w:p>
    <w:p>
      <w:pPr>
        <w:pStyle w:val="8"/>
        <w:spacing w:line="360" w:lineRule="auto"/>
        <w:ind w:firstLine="315" w:firstLineChars="150"/>
        <w:rPr>
          <w:rFonts w:hint="eastAsia"/>
          <w:szCs w:val="21"/>
        </w:rPr>
      </w:pPr>
      <w:r>
        <w:rPr>
          <w:rFonts w:hint="eastAsia"/>
          <w:szCs w:val="21"/>
        </w:rPr>
        <w:t>（</w:t>
      </w:r>
      <w:r>
        <w:rPr>
          <w:rFonts w:hint="eastAsia"/>
          <w:szCs w:val="21"/>
          <w:lang w:val="en-US" w:eastAsia="zh-CN"/>
        </w:rPr>
        <w:t>6</w:t>
      </w:r>
      <w:r>
        <w:rPr>
          <w:rFonts w:hint="eastAsia"/>
          <w:szCs w:val="21"/>
        </w:rPr>
        <w:t>）拟投标人应有执行公司治理类培训项目的经验,具有良好的风险应对能力，能够认可招标人的工作指令，包括节、假日能正常开展工作等要求，并在开标时携带以往项目策划执行资料、企业资信材料等备查。</w:t>
      </w:r>
    </w:p>
    <w:p>
      <w:pPr>
        <w:pStyle w:val="8"/>
        <w:spacing w:line="360" w:lineRule="auto"/>
        <w:ind w:firstLine="420" w:firstLineChars="200"/>
        <w:rPr>
          <w:rFonts w:hAnsi="宋体"/>
        </w:rPr>
      </w:pPr>
      <w:r>
        <w:rPr>
          <w:rFonts w:hint="eastAsia" w:hAnsi="宋体"/>
        </w:rPr>
        <w:t>3.投标内容：</w:t>
      </w:r>
    </w:p>
    <w:p>
      <w:pPr>
        <w:spacing w:line="520" w:lineRule="exact"/>
        <w:ind w:right="2" w:firstLine="420" w:firstLineChars="200"/>
        <w:rPr>
          <w:rFonts w:ascii="宋体" w:hAnsi="Courier New"/>
        </w:rPr>
      </w:pPr>
      <w:r>
        <w:rPr>
          <w:rFonts w:hint="eastAsia" w:hAnsi="宋体"/>
        </w:rPr>
        <w:t>（1）</w:t>
      </w:r>
      <w:r>
        <w:rPr>
          <w:rFonts w:hint="eastAsia" w:ascii="宋体" w:hAnsi="Courier New"/>
        </w:rPr>
        <w:t>投标方需出具详实的课程方案，负责提供培训背景图、宣传条幅、培训教材（</w:t>
      </w:r>
      <w:r>
        <w:rPr>
          <w:rFonts w:hint="eastAsia"/>
          <w:bCs/>
        </w:rPr>
        <w:t>包含纸质版与电子版</w:t>
      </w:r>
      <w:r>
        <w:rPr>
          <w:rFonts w:hint="eastAsia" w:ascii="宋体" w:hAnsi="Courier New"/>
        </w:rPr>
        <w:t>）及培训考试题等培训相关用品，培训方案要有针对性，并与中国重汽集团实际情况结合，确保达到预期效果。投标人承诺对参与该项目所获得的与招标人相关的所有信息都予以保密，并承担与此相关的所有法律责任。</w:t>
      </w:r>
    </w:p>
    <w:p>
      <w:pPr>
        <w:spacing w:line="520" w:lineRule="exact"/>
        <w:ind w:right="2" w:firstLine="420" w:firstLineChars="200"/>
        <w:rPr>
          <w:rFonts w:ascii="宋体" w:hAnsi="Courier New"/>
        </w:rPr>
      </w:pPr>
      <w:r>
        <w:rPr>
          <w:rFonts w:hint="eastAsia" w:ascii="宋体" w:hAnsi="Courier New"/>
        </w:rPr>
        <w:t>（2）培训讲师应</w:t>
      </w:r>
      <w:r>
        <w:rPr>
          <w:rFonts w:hint="eastAsia"/>
          <w:bCs/>
        </w:rPr>
        <w:t>有公司治理类培训经验</w:t>
      </w:r>
      <w:r>
        <w:rPr>
          <w:rFonts w:hint="eastAsia" w:ascii="宋体" w:hAnsi="Courier New"/>
        </w:rPr>
        <w:t>，具有丰富的授课技巧与专业知识。培训方案中需明确培训讲师的姓名、学习、工作背景，附相关培训业绩介绍。</w:t>
      </w:r>
    </w:p>
    <w:p>
      <w:pPr>
        <w:spacing w:line="520" w:lineRule="exact"/>
        <w:ind w:right="2" w:firstLine="420" w:firstLineChars="200"/>
        <w:rPr>
          <w:rFonts w:ascii="宋体" w:hAnsi="Courier New"/>
        </w:rPr>
      </w:pPr>
      <w:r>
        <w:rPr>
          <w:rFonts w:hint="eastAsia" w:ascii="宋体" w:hAnsi="Courier New"/>
        </w:rPr>
        <w:t>（3）培训过程中，原则上应保证应与学员进行有效课程互动，保证学习效果。</w:t>
      </w:r>
    </w:p>
    <w:p>
      <w:pPr>
        <w:spacing w:line="520" w:lineRule="exact"/>
        <w:ind w:right="2" w:firstLine="420" w:firstLineChars="200"/>
        <w:rPr>
          <w:rFonts w:ascii="宋体" w:hAnsi="Courier New"/>
        </w:rPr>
      </w:pPr>
      <w:r>
        <w:rPr>
          <w:rFonts w:hint="eastAsia" w:ascii="宋体" w:hAnsi="Courier New"/>
        </w:rPr>
        <w:t>（4）</w:t>
      </w:r>
      <w:r>
        <w:rPr>
          <w:rFonts w:ascii="宋体" w:hAnsi="Courier New"/>
        </w:rPr>
        <w:t>培训具体时间由招标方与中标方协商确定；</w:t>
      </w:r>
    </w:p>
    <w:p>
      <w:pPr>
        <w:spacing w:line="520" w:lineRule="exact"/>
        <w:ind w:right="2" w:firstLine="420" w:firstLineChars="200"/>
        <w:rPr>
          <w:rFonts w:ascii="宋体" w:hAnsi="Courier New"/>
        </w:rPr>
      </w:pPr>
      <w:r>
        <w:rPr>
          <w:rFonts w:hint="eastAsia" w:ascii="宋体" w:hAnsi="Courier New"/>
        </w:rPr>
        <w:t>（5）</w:t>
      </w:r>
      <w:r>
        <w:rPr>
          <w:rFonts w:hint="eastAsia"/>
          <w:bCs/>
        </w:rPr>
        <w:t>培训课时原则上是0.</w:t>
      </w:r>
      <w:r>
        <w:rPr>
          <w:bCs/>
        </w:rPr>
        <w:t>5</w:t>
      </w:r>
      <w:r>
        <w:rPr>
          <w:rFonts w:hint="eastAsia"/>
          <w:bCs/>
        </w:rPr>
        <w:t>天；</w:t>
      </w:r>
    </w:p>
    <w:p>
      <w:pPr>
        <w:spacing w:line="520" w:lineRule="exact"/>
        <w:ind w:right="2" w:firstLine="420" w:firstLineChars="200"/>
        <w:rPr>
          <w:rFonts w:hAnsi="宋体"/>
        </w:rPr>
      </w:pPr>
      <w:r>
        <w:rPr>
          <w:rFonts w:hint="eastAsia" w:ascii="宋体" w:hAnsi="Courier New"/>
        </w:rPr>
        <w:t>（6）中标方应指定一名经验丰富的工作人员负责与中国重汽集团沟通和联络，培训前应根据中国重汽集团的要求，制定好培训计划及授课前的各项准备工作，培训现场除培训师之外应确保有1名工作人员布置会场、教具准备和签到等工作。</w:t>
      </w:r>
    </w:p>
    <w:p>
      <w:pPr>
        <w:pStyle w:val="8"/>
        <w:spacing w:line="360" w:lineRule="auto"/>
        <w:ind w:left="630" w:leftChars="200" w:hanging="210" w:hangingChars="100"/>
        <w:rPr>
          <w:rFonts w:hAnsi="宋体"/>
        </w:rPr>
      </w:pPr>
      <w:r>
        <w:rPr>
          <w:rFonts w:hint="eastAsia" w:hAnsi="宋体"/>
        </w:rPr>
        <w:t>4.报价</w:t>
      </w:r>
    </w:p>
    <w:p>
      <w:pPr>
        <w:pStyle w:val="8"/>
        <w:spacing w:line="360" w:lineRule="auto"/>
        <w:ind w:firstLine="420" w:firstLineChars="200"/>
        <w:rPr>
          <w:szCs w:val="21"/>
        </w:rPr>
      </w:pPr>
      <w:r>
        <w:rPr>
          <w:rFonts w:hint="eastAsia"/>
          <w:szCs w:val="21"/>
        </w:rPr>
        <w:t>（1）报价应包括合同签订到项目执行完成验收周期内所包含的一切费用，除此之外，采购方无需支付任何费用。</w:t>
      </w:r>
    </w:p>
    <w:p>
      <w:pPr>
        <w:pStyle w:val="8"/>
        <w:spacing w:line="360" w:lineRule="auto"/>
        <w:ind w:firstLine="420" w:firstLineChars="200"/>
        <w:rPr>
          <w:szCs w:val="21"/>
        </w:rPr>
      </w:pPr>
      <w:r>
        <w:rPr>
          <w:rFonts w:hint="eastAsia"/>
          <w:szCs w:val="21"/>
        </w:rPr>
        <w:t>（2）报价货币单位为：元（人民币，不含税价格</w:t>
      </w:r>
      <w:r>
        <w:rPr>
          <w:rFonts w:hint="eastAsia"/>
          <w:szCs w:val="21"/>
          <w:lang w:eastAsia="zh-CN"/>
        </w:rPr>
        <w:t>，</w:t>
      </w:r>
      <w:r>
        <w:rPr>
          <w:rFonts w:hint="eastAsia"/>
          <w:szCs w:val="21"/>
          <w:lang w:val="en-US" w:eastAsia="zh-CN"/>
        </w:rPr>
        <w:t>须明确税率信息</w:t>
      </w:r>
      <w:r>
        <w:rPr>
          <w:rFonts w:hint="eastAsia"/>
          <w:szCs w:val="21"/>
        </w:rPr>
        <w:t>）。</w:t>
      </w:r>
    </w:p>
    <w:p>
      <w:pPr>
        <w:pStyle w:val="8"/>
        <w:spacing w:line="360" w:lineRule="auto"/>
        <w:ind w:firstLine="420" w:firstLineChars="200"/>
        <w:rPr>
          <w:szCs w:val="21"/>
        </w:rPr>
      </w:pPr>
      <w:r>
        <w:rPr>
          <w:rFonts w:hint="eastAsia"/>
          <w:szCs w:val="21"/>
        </w:rPr>
        <w:t>5.评标原则：按照合理最低价中标。</w:t>
      </w:r>
    </w:p>
    <w:p>
      <w:pPr>
        <w:pStyle w:val="8"/>
        <w:spacing w:line="360" w:lineRule="auto"/>
        <w:ind w:firstLine="420" w:firstLineChars="200"/>
        <w:rPr>
          <w:rFonts w:hint="eastAsia"/>
          <w:szCs w:val="21"/>
        </w:rPr>
      </w:pPr>
      <w:r>
        <w:rPr>
          <w:rFonts w:hint="eastAsia"/>
          <w:szCs w:val="21"/>
        </w:rPr>
        <w:t>6.相关要求：投标人要求买方提供何种配合，需在标书中说明。</w:t>
      </w:r>
    </w:p>
    <w:p>
      <w:pPr>
        <w:pStyle w:val="8"/>
        <w:spacing w:line="360" w:lineRule="auto"/>
        <w:ind w:firstLine="420" w:firstLineChars="200"/>
        <w:rPr>
          <w:szCs w:val="21"/>
        </w:rPr>
      </w:pPr>
      <w:r>
        <w:rPr>
          <w:rFonts w:hint="eastAsia"/>
          <w:szCs w:val="21"/>
        </w:rPr>
        <w:t>7.凡对本次招标提出的询问，均以招标方的书面答复为准。</w:t>
      </w:r>
    </w:p>
    <w:p>
      <w:pPr>
        <w:pStyle w:val="8"/>
        <w:spacing w:line="360" w:lineRule="auto"/>
        <w:rPr>
          <w:rFonts w:ascii="黑体" w:eastAsia="黑体"/>
          <w:b/>
          <w:bCs/>
          <w:sz w:val="28"/>
        </w:rPr>
      </w:pPr>
      <w:r>
        <w:rPr>
          <w:rFonts w:hint="eastAsia" w:ascii="黑体" w:eastAsia="黑体"/>
          <w:b/>
          <w:bCs/>
          <w:sz w:val="28"/>
        </w:rPr>
        <w:t>五、议程安排</w:t>
      </w:r>
    </w:p>
    <w:p>
      <w:pPr>
        <w:pStyle w:val="8"/>
        <w:spacing w:line="360" w:lineRule="auto"/>
        <w:ind w:firstLine="420" w:firstLineChars="200"/>
        <w:rPr>
          <w:rFonts w:hint="eastAsia" w:cs="Times New Roman"/>
          <w:lang w:val="en-US" w:eastAsia="zh-CN"/>
        </w:rPr>
      </w:pPr>
      <w:r>
        <w:rPr>
          <w:rFonts w:hint="eastAsia" w:ascii="宋体" w:eastAsia="宋体" w:cs="Times New Roman"/>
        </w:rPr>
        <w:t>1.</w:t>
      </w:r>
      <w:r>
        <w:rPr>
          <w:rFonts w:hint="eastAsia" w:cs="Times New Roman"/>
          <w:lang w:val="en-US" w:eastAsia="zh-CN"/>
        </w:rPr>
        <w:t>时间安排</w:t>
      </w:r>
    </w:p>
    <w:p>
      <w:pPr>
        <w:pStyle w:val="8"/>
        <w:spacing w:line="360" w:lineRule="auto"/>
        <w:ind w:firstLine="420" w:firstLineChars="200"/>
        <w:rPr>
          <w:rFonts w:hint="eastAsia" w:ascii="宋体" w:eastAsia="宋体" w:cs="Times New Roman"/>
        </w:rPr>
      </w:pPr>
      <w:r>
        <w:rPr>
          <w:rFonts w:hint="eastAsia" w:cs="Times New Roman"/>
          <w:lang w:val="en-US" w:eastAsia="zh-CN"/>
        </w:rPr>
        <w:t>（1）</w:t>
      </w:r>
      <w:r>
        <w:rPr>
          <w:rFonts w:hint="eastAsia" w:ascii="宋体" w:eastAsia="宋体" w:cs="Times New Roman"/>
        </w:rPr>
        <w:t>发标时间：202</w:t>
      </w:r>
      <w:r>
        <w:rPr>
          <w:rFonts w:hint="eastAsia" w:ascii="宋体" w:eastAsia="宋体" w:cs="Times New Roman"/>
          <w:lang w:val="en-US" w:eastAsia="zh-CN"/>
        </w:rPr>
        <w:t>4</w:t>
      </w:r>
      <w:r>
        <w:rPr>
          <w:rFonts w:hint="eastAsia" w:ascii="宋体" w:eastAsia="宋体" w:cs="Times New Roman"/>
        </w:rPr>
        <w:t>年</w:t>
      </w:r>
      <w:r>
        <w:rPr>
          <w:rFonts w:hint="eastAsia" w:ascii="宋体" w:eastAsia="宋体" w:cs="Times New Roman"/>
          <w:lang w:val="en-US" w:eastAsia="zh-CN"/>
        </w:rPr>
        <w:t>4</w:t>
      </w:r>
      <w:r>
        <w:rPr>
          <w:rFonts w:hint="eastAsia" w:ascii="宋体" w:eastAsia="宋体" w:cs="Times New Roman"/>
        </w:rPr>
        <w:t>月</w:t>
      </w:r>
      <w:r>
        <w:rPr>
          <w:rFonts w:hint="eastAsia" w:cs="Times New Roman"/>
          <w:lang w:val="en-US" w:eastAsia="zh-CN"/>
        </w:rPr>
        <w:t>19</w:t>
      </w:r>
      <w:r>
        <w:rPr>
          <w:rFonts w:hint="eastAsia" w:ascii="宋体" w:eastAsia="宋体" w:cs="Times New Roman"/>
        </w:rPr>
        <w:t>日。</w:t>
      </w:r>
    </w:p>
    <w:p>
      <w:pPr>
        <w:pStyle w:val="8"/>
        <w:spacing w:line="360" w:lineRule="auto"/>
        <w:ind w:firstLine="420" w:firstLineChars="200"/>
        <w:rPr>
          <w:rFonts w:hint="eastAsia" w:ascii="宋体" w:eastAsia="宋体" w:cs="Times New Roman"/>
        </w:rPr>
      </w:pPr>
      <w:r>
        <w:rPr>
          <w:rFonts w:hint="eastAsia" w:cs="Times New Roman"/>
          <w:lang w:eastAsia="zh-CN"/>
        </w:rPr>
        <w:t>（</w:t>
      </w:r>
      <w:r>
        <w:rPr>
          <w:rFonts w:hint="eastAsia" w:cs="Times New Roman"/>
          <w:lang w:val="en-US" w:eastAsia="zh-CN"/>
        </w:rPr>
        <w:t>2</w:t>
      </w:r>
      <w:r>
        <w:rPr>
          <w:rFonts w:hint="eastAsia" w:cs="Times New Roman"/>
          <w:lang w:eastAsia="zh-CN"/>
        </w:rPr>
        <w:t>）</w:t>
      </w:r>
      <w:r>
        <w:rPr>
          <w:rFonts w:hint="eastAsia" w:ascii="宋体" w:eastAsia="宋体" w:cs="Times New Roman"/>
          <w:lang w:val="en-US" w:eastAsia="zh-CN"/>
        </w:rPr>
        <w:t>应标</w:t>
      </w:r>
      <w:r>
        <w:rPr>
          <w:rFonts w:hint="eastAsia" w:ascii="宋体" w:eastAsia="宋体" w:cs="Times New Roman"/>
        </w:rPr>
        <w:t>时间：202</w:t>
      </w:r>
      <w:r>
        <w:rPr>
          <w:rFonts w:hint="eastAsia" w:ascii="宋体" w:eastAsia="宋体" w:cs="Times New Roman"/>
          <w:lang w:val="en-US" w:eastAsia="zh-CN"/>
        </w:rPr>
        <w:t>4</w:t>
      </w:r>
      <w:r>
        <w:rPr>
          <w:rFonts w:hint="eastAsia" w:ascii="宋体" w:eastAsia="宋体" w:cs="Times New Roman"/>
        </w:rPr>
        <w:t>年</w:t>
      </w:r>
      <w:r>
        <w:rPr>
          <w:rFonts w:hint="eastAsia" w:ascii="宋体" w:eastAsia="宋体" w:cs="Times New Roman"/>
          <w:lang w:val="en-US" w:eastAsia="zh-CN"/>
        </w:rPr>
        <w:t>4</w:t>
      </w:r>
      <w:r>
        <w:rPr>
          <w:rFonts w:hint="eastAsia" w:ascii="宋体" w:eastAsia="宋体" w:cs="Times New Roman"/>
        </w:rPr>
        <w:t>月</w:t>
      </w:r>
      <w:r>
        <w:rPr>
          <w:rFonts w:hint="eastAsia" w:cs="Times New Roman"/>
          <w:lang w:val="en-US" w:eastAsia="zh-CN"/>
        </w:rPr>
        <w:t>20</w:t>
      </w:r>
      <w:r>
        <w:rPr>
          <w:rFonts w:hint="eastAsia" w:ascii="宋体" w:eastAsia="宋体" w:cs="Times New Roman"/>
        </w:rPr>
        <w:t>日</w:t>
      </w:r>
      <w:r>
        <w:rPr>
          <w:rFonts w:hint="eastAsia" w:cs="Times New Roman"/>
          <w:lang w:val="en-US" w:eastAsia="zh-CN"/>
        </w:rPr>
        <w:t>7</w:t>
      </w:r>
      <w:r>
        <w:rPr>
          <w:rFonts w:hint="eastAsia" w:ascii="宋体" w:eastAsia="宋体" w:cs="Times New Roman"/>
        </w:rPr>
        <w:t>:00时</w:t>
      </w:r>
      <w:r>
        <w:rPr>
          <w:rFonts w:hint="eastAsia" w:ascii="宋体" w:eastAsia="宋体" w:cs="Times New Roman"/>
          <w:lang w:val="en-US" w:eastAsia="zh-CN"/>
        </w:rPr>
        <w:t>--2024年4月</w:t>
      </w:r>
      <w:r>
        <w:rPr>
          <w:rFonts w:hint="eastAsia" w:cs="Times New Roman"/>
          <w:lang w:val="en-US" w:eastAsia="zh-CN"/>
        </w:rPr>
        <w:t>29</w:t>
      </w:r>
      <w:r>
        <w:rPr>
          <w:rFonts w:hint="eastAsia" w:ascii="宋体" w:eastAsia="宋体" w:cs="Times New Roman"/>
          <w:lang w:val="en-US" w:eastAsia="zh-CN"/>
        </w:rPr>
        <w:t>日</w:t>
      </w:r>
      <w:r>
        <w:rPr>
          <w:rFonts w:hint="eastAsia" w:cs="Times New Roman"/>
          <w:lang w:val="en-US" w:eastAsia="zh-CN"/>
        </w:rPr>
        <w:t>1</w:t>
      </w:r>
      <w:r>
        <w:rPr>
          <w:rFonts w:hint="eastAsia" w:ascii="宋体" w:eastAsia="宋体" w:cs="Times New Roman"/>
        </w:rPr>
        <w:t>9:00时</w:t>
      </w:r>
    </w:p>
    <w:p>
      <w:pPr>
        <w:pStyle w:val="8"/>
        <w:spacing w:line="360" w:lineRule="auto"/>
        <w:ind w:firstLine="420" w:firstLineChars="200"/>
        <w:rPr>
          <w:rFonts w:hint="eastAsia" w:ascii="宋体" w:eastAsia="宋体" w:cs="Times New Roman"/>
        </w:rPr>
      </w:pPr>
      <w:r>
        <w:rPr>
          <w:rFonts w:hint="eastAsia" w:ascii="宋体" w:eastAsia="宋体" w:cs="Times New Roman"/>
          <w:lang w:eastAsia="zh-CN"/>
        </w:rPr>
        <w:t>应标</w:t>
      </w:r>
      <w:r>
        <w:rPr>
          <w:rFonts w:hint="eastAsia" w:ascii="宋体" w:eastAsia="宋体" w:cs="Times New Roman"/>
        </w:rPr>
        <w:t>时间：凡有意参加投标者，请于20</w:t>
      </w:r>
      <w:r>
        <w:rPr>
          <w:rFonts w:hint="eastAsia" w:ascii="宋体" w:eastAsia="宋体" w:cs="Times New Roman"/>
          <w:lang w:val="en-US" w:eastAsia="zh-CN"/>
        </w:rPr>
        <w:t>24</w:t>
      </w:r>
      <w:r>
        <w:rPr>
          <w:rFonts w:hint="eastAsia" w:ascii="宋体" w:eastAsia="宋体" w:cs="Times New Roman"/>
        </w:rPr>
        <w:t>年</w:t>
      </w:r>
      <w:r>
        <w:rPr>
          <w:rFonts w:hint="eastAsia" w:ascii="宋体" w:eastAsia="宋体" w:cs="Times New Roman"/>
          <w:lang w:val="en-US" w:eastAsia="zh-CN"/>
        </w:rPr>
        <w:t>4</w:t>
      </w:r>
      <w:r>
        <w:rPr>
          <w:rFonts w:hint="eastAsia" w:ascii="宋体" w:eastAsia="宋体" w:cs="Times New Roman"/>
        </w:rPr>
        <w:t>月</w:t>
      </w:r>
      <w:r>
        <w:rPr>
          <w:rFonts w:hint="eastAsia" w:cs="Times New Roman"/>
          <w:lang w:val="en-US" w:eastAsia="zh-CN"/>
        </w:rPr>
        <w:t>29</w:t>
      </w:r>
      <w:r>
        <w:rPr>
          <w:rFonts w:hint="eastAsia" w:ascii="宋体" w:eastAsia="宋体" w:cs="Times New Roman"/>
        </w:rPr>
        <w:t>日</w:t>
      </w:r>
      <w:r>
        <w:rPr>
          <w:rFonts w:hint="eastAsia" w:ascii="宋体" w:eastAsia="宋体" w:cs="Times New Roman"/>
          <w:lang w:val="en-US" w:eastAsia="zh-CN"/>
        </w:rPr>
        <w:t>上</w:t>
      </w:r>
      <w:r>
        <w:rPr>
          <w:rFonts w:hint="eastAsia" w:ascii="宋体" w:eastAsia="宋体" w:cs="Times New Roman"/>
        </w:rPr>
        <w:t>午</w:t>
      </w:r>
      <w:r>
        <w:rPr>
          <w:rFonts w:hint="eastAsia" w:cs="Times New Roman"/>
          <w:lang w:val="en-US" w:eastAsia="zh-CN"/>
        </w:rPr>
        <w:t>1</w:t>
      </w:r>
      <w:r>
        <w:rPr>
          <w:rFonts w:hint="eastAsia" w:ascii="宋体" w:eastAsia="宋体" w:cs="Times New Roman"/>
          <w:lang w:val="en-US" w:eastAsia="zh-CN"/>
        </w:rPr>
        <w:t>9</w:t>
      </w:r>
      <w:r>
        <w:rPr>
          <w:rFonts w:hint="eastAsia" w:ascii="宋体" w:eastAsia="宋体" w:cs="Times New Roman"/>
        </w:rPr>
        <w:t>:00前</w:t>
      </w:r>
      <w:r>
        <w:rPr>
          <w:rFonts w:hint="eastAsia" w:ascii="宋体" w:eastAsia="宋体" w:cs="Times New Roman"/>
          <w:lang w:val="en-US" w:eastAsia="zh-CN"/>
        </w:rPr>
        <w:t>在重汽e采通完成</w:t>
      </w:r>
      <w:r>
        <w:rPr>
          <w:rFonts w:hint="eastAsia" w:ascii="宋体" w:eastAsia="宋体" w:cs="Times New Roman"/>
          <w:lang w:eastAsia="zh-CN"/>
        </w:rPr>
        <w:t>应标。并</w:t>
      </w:r>
      <w:r>
        <w:rPr>
          <w:rFonts w:hint="eastAsia" w:ascii="宋体" w:eastAsia="宋体" w:cs="Times New Roman"/>
          <w:lang w:val="en-US" w:eastAsia="zh-CN"/>
        </w:rPr>
        <w:t>按应标要求</w:t>
      </w:r>
      <w:r>
        <w:rPr>
          <w:rFonts w:hint="eastAsia" w:ascii="宋体" w:eastAsia="宋体" w:cs="Times New Roman"/>
          <w:lang w:eastAsia="zh-CN"/>
        </w:rPr>
        <w:t>递交各种报名手续进行初审。</w:t>
      </w:r>
    </w:p>
    <w:p>
      <w:pPr>
        <w:pStyle w:val="8"/>
        <w:spacing w:line="360" w:lineRule="auto"/>
        <w:ind w:firstLine="420" w:firstLineChars="200"/>
        <w:rPr>
          <w:rFonts w:hint="eastAsia" w:ascii="宋体" w:eastAsia="宋体" w:cs="Times New Roman"/>
        </w:rPr>
      </w:pPr>
      <w:r>
        <w:rPr>
          <w:rFonts w:hint="eastAsia" w:ascii="宋体" w:hAnsi="Courier New" w:eastAsia="宋体" w:cs="Times New Roman"/>
          <w:sz w:val="21"/>
          <w:szCs w:val="22"/>
          <w:lang w:eastAsia="zh-CN"/>
        </w:rPr>
        <w:t>应标</w:t>
      </w:r>
      <w:r>
        <w:rPr>
          <w:rFonts w:hint="eastAsia" w:ascii="宋体" w:hAnsi="Courier New" w:eastAsia="宋体" w:cs="Times New Roman"/>
          <w:sz w:val="21"/>
          <w:szCs w:val="22"/>
        </w:rPr>
        <w:t>方式</w:t>
      </w:r>
      <w:r>
        <w:rPr>
          <w:rFonts w:hint="eastAsia" w:ascii="宋体" w:hAnsi="Courier New" w:eastAsia="宋体" w:cs="Times New Roman"/>
          <w:b w:val="0"/>
          <w:bCs w:val="0"/>
          <w:sz w:val="21"/>
          <w:szCs w:val="22"/>
        </w:rPr>
        <w:t>：</w:t>
      </w:r>
      <w:r>
        <w:rPr>
          <w:rFonts w:hint="eastAsia" w:ascii="宋体" w:hAnsi="Courier New" w:eastAsia="宋体" w:cs="Times New Roman"/>
          <w:sz w:val="21"/>
          <w:szCs w:val="22"/>
          <w:lang w:eastAsia="zh-CN"/>
        </w:rPr>
        <w:t>应标</w:t>
      </w:r>
      <w:r>
        <w:rPr>
          <w:rFonts w:hint="eastAsia" w:ascii="宋体" w:hAnsi="Courier New" w:eastAsia="宋体" w:cs="Times New Roman"/>
          <w:b w:val="0"/>
          <w:bCs w:val="0"/>
          <w:sz w:val="21"/>
          <w:szCs w:val="22"/>
          <w:lang w:val="en-US" w:eastAsia="zh-CN"/>
        </w:rPr>
        <w:t>方式为电子化线上</w:t>
      </w:r>
      <w:r>
        <w:rPr>
          <w:rFonts w:hint="eastAsia" w:ascii="宋体" w:hAnsi="Courier New" w:eastAsia="宋体" w:cs="Times New Roman"/>
          <w:sz w:val="21"/>
          <w:szCs w:val="22"/>
          <w:lang w:eastAsia="zh-CN"/>
        </w:rPr>
        <w:t>应标</w:t>
      </w:r>
      <w:r>
        <w:rPr>
          <w:rFonts w:hint="eastAsia" w:ascii="宋体" w:hAnsi="Courier New" w:eastAsia="宋体" w:cs="Times New Roman"/>
          <w:b w:val="0"/>
          <w:bCs w:val="0"/>
          <w:sz w:val="21"/>
          <w:szCs w:val="22"/>
          <w:lang w:val="en-US" w:eastAsia="zh-CN"/>
        </w:rPr>
        <w:t>，投标方先进入中国重汽e采通进行登录，并查看招标文件相关公告及信息，并按要求提供资质文件、业务简介、项目业绩，后附说明。</w:t>
      </w:r>
    </w:p>
    <w:p>
      <w:pPr>
        <w:pStyle w:val="8"/>
        <w:spacing w:line="360" w:lineRule="auto"/>
        <w:ind w:firstLine="420" w:firstLineChars="200"/>
        <w:rPr>
          <w:rFonts w:hint="eastAsia" w:ascii="宋体" w:eastAsia="宋体" w:cs="Times New Roman"/>
        </w:rPr>
      </w:pPr>
      <w:r>
        <w:rPr>
          <w:rFonts w:hint="eastAsia" w:cs="Times New Roman"/>
          <w:lang w:val="en-US" w:eastAsia="zh-CN"/>
        </w:rPr>
        <w:t>（3）</w:t>
      </w:r>
      <w:r>
        <w:rPr>
          <w:rFonts w:hint="eastAsia" w:ascii="宋体" w:eastAsia="宋体" w:cs="Times New Roman"/>
          <w:lang w:val="en-US" w:eastAsia="zh-CN"/>
        </w:rPr>
        <w:t>投标时间：2024年4月</w:t>
      </w:r>
      <w:r>
        <w:rPr>
          <w:rFonts w:hint="eastAsia" w:cs="Times New Roman"/>
          <w:lang w:val="en-US" w:eastAsia="zh-CN"/>
        </w:rPr>
        <w:t>30</w:t>
      </w:r>
      <w:r>
        <w:rPr>
          <w:rFonts w:hint="eastAsia" w:ascii="宋体" w:eastAsia="宋体" w:cs="Times New Roman"/>
          <w:lang w:val="en-US" w:eastAsia="zh-CN"/>
        </w:rPr>
        <w:t>日9</w:t>
      </w:r>
      <w:r>
        <w:rPr>
          <w:rFonts w:hint="eastAsia" w:ascii="宋体" w:eastAsia="宋体" w:cs="Times New Roman"/>
        </w:rPr>
        <w:t>:00时</w:t>
      </w:r>
      <w:r>
        <w:rPr>
          <w:rFonts w:hint="eastAsia" w:ascii="宋体" w:eastAsia="宋体" w:cs="Times New Roman"/>
          <w:lang w:val="en-US" w:eastAsia="zh-CN"/>
        </w:rPr>
        <w:t>--2024年</w:t>
      </w:r>
      <w:r>
        <w:rPr>
          <w:rFonts w:hint="eastAsia" w:cs="Times New Roman"/>
          <w:lang w:val="en-US" w:eastAsia="zh-CN"/>
        </w:rPr>
        <w:t>5</w:t>
      </w:r>
      <w:r>
        <w:rPr>
          <w:rFonts w:hint="eastAsia" w:ascii="宋体" w:eastAsia="宋体" w:cs="Times New Roman"/>
          <w:lang w:val="en-US" w:eastAsia="zh-CN"/>
        </w:rPr>
        <w:t>月</w:t>
      </w:r>
      <w:r>
        <w:rPr>
          <w:rFonts w:hint="eastAsia" w:cs="Times New Roman"/>
          <w:lang w:val="en-US" w:eastAsia="zh-CN"/>
        </w:rPr>
        <w:t>6</w:t>
      </w:r>
      <w:r>
        <w:rPr>
          <w:rFonts w:hint="eastAsia" w:ascii="宋体" w:eastAsia="宋体" w:cs="Times New Roman"/>
          <w:lang w:val="en-US" w:eastAsia="zh-CN"/>
        </w:rPr>
        <w:t>日23</w:t>
      </w:r>
      <w:r>
        <w:rPr>
          <w:rFonts w:hint="eastAsia" w:ascii="宋体" w:eastAsia="宋体" w:cs="Times New Roman"/>
        </w:rPr>
        <w:t>:00时</w:t>
      </w:r>
    </w:p>
    <w:p>
      <w:pPr>
        <w:pStyle w:val="8"/>
        <w:spacing w:line="360" w:lineRule="auto"/>
        <w:ind w:firstLine="420" w:firstLineChars="200"/>
        <w:rPr>
          <w:rFonts w:hint="eastAsia" w:cs="Times New Roman"/>
          <w:lang w:val="en-US" w:eastAsia="zh-CN"/>
        </w:rPr>
      </w:pPr>
      <w:r>
        <w:rPr>
          <w:rFonts w:hint="eastAsia" w:cs="Times New Roman"/>
          <w:lang w:val="en-US" w:eastAsia="zh-CN"/>
        </w:rPr>
        <w:t>（4）</w:t>
      </w:r>
      <w:r>
        <w:rPr>
          <w:rFonts w:hint="eastAsia" w:ascii="宋体" w:eastAsia="宋体" w:cs="Times New Roman"/>
          <w:lang w:val="en-US" w:eastAsia="zh-CN"/>
        </w:rPr>
        <w:t>开标时间：2024年</w:t>
      </w:r>
      <w:r>
        <w:rPr>
          <w:rFonts w:hint="eastAsia" w:cs="Times New Roman"/>
          <w:lang w:val="en-US" w:eastAsia="zh-CN"/>
        </w:rPr>
        <w:t>5</w:t>
      </w:r>
      <w:r>
        <w:rPr>
          <w:rFonts w:hint="eastAsia" w:ascii="宋体" w:eastAsia="宋体" w:cs="Times New Roman"/>
          <w:lang w:val="en-US" w:eastAsia="zh-CN"/>
        </w:rPr>
        <w:t>月</w:t>
      </w:r>
      <w:r>
        <w:rPr>
          <w:rFonts w:hint="eastAsia" w:cs="Times New Roman"/>
          <w:lang w:val="en-US" w:eastAsia="zh-CN"/>
        </w:rPr>
        <w:t>7</w:t>
      </w:r>
      <w:r>
        <w:rPr>
          <w:rFonts w:hint="eastAsia" w:ascii="宋体" w:eastAsia="宋体" w:cs="Times New Roman"/>
          <w:lang w:val="en-US" w:eastAsia="zh-CN"/>
        </w:rPr>
        <w:t>日13：30</w:t>
      </w:r>
      <w:r>
        <w:rPr>
          <w:rFonts w:hint="eastAsia" w:ascii="宋体" w:eastAsia="宋体" w:cs="Times New Roman"/>
        </w:rPr>
        <w:t>时</w:t>
      </w:r>
      <w:r>
        <w:rPr>
          <w:rFonts w:hint="eastAsia" w:ascii="宋体" w:eastAsia="宋体" w:cs="Times New Roman"/>
          <w:lang w:val="en-US" w:eastAsia="zh-CN"/>
        </w:rPr>
        <w:t>(初定）</w:t>
      </w:r>
      <w:r>
        <w:rPr>
          <w:rFonts w:hint="eastAsia" w:cs="Times New Roman"/>
          <w:lang w:val="en-US" w:eastAsia="zh-CN"/>
        </w:rPr>
        <w:t>，原则上为</w:t>
      </w:r>
      <w:r>
        <w:rPr>
          <w:rFonts w:hint="eastAsia" w:cs="Times New Roman"/>
          <w:highlight w:val="yellow"/>
          <w:lang w:val="en-US" w:eastAsia="zh-CN"/>
        </w:rPr>
        <w:t>线下</w:t>
      </w:r>
      <w:r>
        <w:rPr>
          <w:rFonts w:hint="eastAsia" w:cs="Times New Roman"/>
          <w:lang w:val="en-US" w:eastAsia="zh-CN"/>
        </w:rPr>
        <w:t>开标，开标地点投标完成后，单独通知。</w:t>
      </w:r>
    </w:p>
    <w:p>
      <w:pPr>
        <w:pStyle w:val="8"/>
        <w:spacing w:line="360" w:lineRule="auto"/>
        <w:ind w:firstLine="420" w:firstLineChars="200"/>
        <w:rPr>
          <w:rFonts w:hint="eastAsia" w:ascii="宋体" w:hAnsi="Courier New" w:eastAsia="宋体" w:cs="Times New Roman"/>
          <w:b w:val="0"/>
          <w:bCs w:val="0"/>
          <w:sz w:val="21"/>
          <w:szCs w:val="22"/>
          <w:lang w:val="en-US" w:eastAsia="zh-CN"/>
        </w:rPr>
      </w:pPr>
      <w:r>
        <w:rPr>
          <w:rFonts w:hint="eastAsia" w:cs="Times New Roman"/>
          <w:b w:val="0"/>
          <w:bCs w:val="0"/>
          <w:sz w:val="21"/>
          <w:szCs w:val="22"/>
          <w:lang w:val="en-US" w:eastAsia="zh-CN"/>
        </w:rPr>
        <w:t>注：</w:t>
      </w:r>
      <w:r>
        <w:rPr>
          <w:rFonts w:hint="eastAsia" w:ascii="宋体" w:hAnsi="Courier New" w:eastAsia="宋体" w:cs="Times New Roman"/>
          <w:b w:val="0"/>
          <w:bCs w:val="0"/>
          <w:sz w:val="21"/>
          <w:szCs w:val="22"/>
          <w:lang w:val="en-US" w:eastAsia="zh-CN"/>
        </w:rPr>
        <w:t>如选择到场参与开标，自行携带纸质投标文件于开标前至开标地点即可。</w:t>
      </w:r>
    </w:p>
    <w:p>
      <w:pPr>
        <w:pStyle w:val="8"/>
        <w:spacing w:line="360" w:lineRule="auto"/>
        <w:ind w:firstLine="420" w:firstLineChars="200"/>
        <w:rPr>
          <w:rFonts w:hint="eastAsia" w:ascii="宋体" w:hAnsi="Courier New" w:eastAsia="宋体" w:cs="Times New Roman"/>
          <w:b w:val="0"/>
          <w:bCs w:val="0"/>
          <w:sz w:val="21"/>
          <w:szCs w:val="22"/>
          <w:lang w:val="en-US" w:eastAsia="zh-CN"/>
        </w:rPr>
      </w:pPr>
      <w:r>
        <w:rPr>
          <w:rFonts w:hint="eastAsia" w:ascii="宋体" w:hAnsi="Courier New" w:eastAsia="宋体" w:cs="Times New Roman"/>
          <w:b w:val="0"/>
          <w:bCs w:val="0"/>
          <w:sz w:val="21"/>
          <w:szCs w:val="22"/>
          <w:lang w:val="en-US" w:eastAsia="zh-CN"/>
        </w:rPr>
        <w:t>如选择线上参与开标，纸质投标文件需在开标日前两天，邮寄到指定地址。</w:t>
      </w:r>
    </w:p>
    <w:p>
      <w:pPr>
        <w:pStyle w:val="8"/>
        <w:spacing w:line="360" w:lineRule="auto"/>
        <w:ind w:firstLine="420" w:firstLineChars="200"/>
        <w:rPr>
          <w:rFonts w:hint="default" w:ascii="宋体" w:hAnsi="Courier New" w:eastAsia="宋体" w:cs="Times New Roman"/>
          <w:b w:val="0"/>
          <w:bCs w:val="0"/>
          <w:sz w:val="21"/>
          <w:szCs w:val="22"/>
          <w:lang w:val="en-US" w:eastAsia="zh-CN"/>
        </w:rPr>
      </w:pPr>
      <w:r>
        <w:rPr>
          <w:rFonts w:hint="eastAsia" w:ascii="宋体" w:hAnsi="Courier New" w:eastAsia="宋体" w:cs="Times New Roman"/>
          <w:b w:val="0"/>
          <w:bCs w:val="0"/>
          <w:sz w:val="21"/>
          <w:szCs w:val="22"/>
          <w:lang w:val="en-US" w:eastAsia="zh-CN"/>
        </w:rPr>
        <w:t>邮寄地址：山东省济南市历城区华奥路777号</w:t>
      </w:r>
      <w:r>
        <w:rPr>
          <w:rFonts w:hint="eastAsia" w:cs="Times New Roman"/>
          <w:b w:val="0"/>
          <w:bCs w:val="0"/>
          <w:sz w:val="21"/>
          <w:szCs w:val="22"/>
          <w:lang w:val="en-US" w:eastAsia="zh-CN"/>
        </w:rPr>
        <w:t>，重汽未来科技大厦</w:t>
      </w:r>
    </w:p>
    <w:p>
      <w:pPr>
        <w:pStyle w:val="8"/>
        <w:spacing w:line="360" w:lineRule="auto"/>
        <w:ind w:firstLine="420" w:firstLineChars="200"/>
        <w:rPr>
          <w:rFonts w:hint="default" w:ascii="宋体" w:hAnsi="Courier New" w:eastAsia="宋体" w:cs="Times New Roman"/>
          <w:b w:val="0"/>
          <w:bCs w:val="0"/>
          <w:sz w:val="21"/>
          <w:szCs w:val="22"/>
          <w:lang w:val="en-US" w:eastAsia="zh-CN"/>
        </w:rPr>
      </w:pPr>
      <w:r>
        <w:rPr>
          <w:rFonts w:hint="eastAsia" w:ascii="宋体" w:hAnsi="Courier New" w:eastAsia="宋体" w:cs="Times New Roman"/>
          <w:b w:val="0"/>
          <w:bCs w:val="0"/>
          <w:sz w:val="21"/>
          <w:szCs w:val="22"/>
          <w:lang w:val="en-US" w:eastAsia="zh-CN"/>
        </w:rPr>
        <w:t>联系人及联系方式：</w:t>
      </w:r>
      <w:r>
        <w:rPr>
          <w:rFonts w:hint="eastAsia" w:cs="Times New Roman"/>
          <w:b w:val="0"/>
          <w:bCs w:val="0"/>
          <w:sz w:val="21"/>
          <w:szCs w:val="22"/>
          <w:lang w:val="en-US" w:eastAsia="zh-CN"/>
        </w:rPr>
        <w:t>于洋</w:t>
      </w:r>
      <w:r>
        <w:rPr>
          <w:rFonts w:hint="eastAsia" w:ascii="宋体" w:hAnsi="Courier New" w:eastAsia="宋体" w:cs="Times New Roman"/>
          <w:b w:val="0"/>
          <w:bCs w:val="0"/>
          <w:sz w:val="21"/>
          <w:szCs w:val="22"/>
          <w:lang w:val="en-US" w:eastAsia="zh-CN"/>
        </w:rPr>
        <w:t xml:space="preserve"> </w:t>
      </w:r>
      <w:r>
        <w:rPr>
          <w:rFonts w:hint="eastAsia" w:cs="Times New Roman"/>
          <w:b w:val="0"/>
          <w:bCs w:val="0"/>
          <w:sz w:val="21"/>
          <w:szCs w:val="22"/>
          <w:lang w:val="en-US" w:eastAsia="zh-CN"/>
        </w:rPr>
        <w:t>15589912536</w:t>
      </w:r>
    </w:p>
    <w:p>
      <w:pPr>
        <w:pStyle w:val="8"/>
        <w:spacing w:line="360" w:lineRule="auto"/>
        <w:ind w:firstLine="420" w:firstLineChars="200"/>
        <w:rPr>
          <w:rFonts w:hint="eastAsia" w:ascii="宋体" w:hAnsi="Courier New" w:eastAsia="宋体" w:cs="Times New Roman"/>
          <w:b w:val="0"/>
          <w:bCs w:val="0"/>
          <w:sz w:val="21"/>
          <w:szCs w:val="22"/>
          <w:lang w:val="en-US" w:eastAsia="zh-CN"/>
        </w:rPr>
      </w:pPr>
      <w:r>
        <w:rPr>
          <w:rFonts w:hint="eastAsia" w:ascii="宋体" w:hAnsi="Courier New" w:eastAsia="宋体" w:cs="Times New Roman"/>
          <w:b w:val="0"/>
          <w:bCs w:val="0"/>
          <w:sz w:val="21"/>
          <w:szCs w:val="22"/>
          <w:lang w:val="en-US" w:eastAsia="zh-CN"/>
        </w:rPr>
        <w:t>2.投标文件的递交</w:t>
      </w:r>
    </w:p>
    <w:p>
      <w:pPr>
        <w:pStyle w:val="8"/>
        <w:spacing w:line="360" w:lineRule="auto"/>
        <w:ind w:firstLine="420" w:firstLineChars="200"/>
        <w:rPr>
          <w:rFonts w:hint="eastAsia" w:ascii="宋体" w:hAnsi="Courier New" w:eastAsia="宋体" w:cs="Times New Roman"/>
          <w:b w:val="0"/>
          <w:bCs w:val="0"/>
          <w:sz w:val="21"/>
          <w:szCs w:val="22"/>
          <w:lang w:val="en-US" w:eastAsia="zh-CN"/>
        </w:rPr>
      </w:pPr>
      <w:r>
        <w:rPr>
          <w:rFonts w:hint="eastAsia" w:ascii="宋体" w:hAnsi="Courier New" w:eastAsia="宋体" w:cs="Times New Roman"/>
          <w:b w:val="0"/>
          <w:bCs w:val="0"/>
          <w:sz w:val="21"/>
          <w:szCs w:val="22"/>
          <w:lang w:val="en-US" w:eastAsia="zh-CN"/>
        </w:rPr>
        <w:t>（1）投标文件递交的截止时间详见中国重汽e采通公示明细。</w:t>
      </w:r>
    </w:p>
    <w:p>
      <w:pPr>
        <w:pStyle w:val="8"/>
        <w:spacing w:line="360" w:lineRule="auto"/>
        <w:ind w:firstLine="420" w:firstLineChars="200"/>
        <w:rPr>
          <w:rFonts w:hint="eastAsia" w:ascii="宋体" w:eastAsia="宋体" w:cs="Times New Roman"/>
          <w:lang w:val="en-US" w:eastAsia="zh-CN"/>
        </w:rPr>
      </w:pPr>
      <w:r>
        <w:rPr>
          <w:rFonts w:hint="eastAsia" w:ascii="宋体" w:eastAsia="宋体" w:cs="Times New Roman"/>
          <w:lang w:val="en-US" w:eastAsia="zh-CN"/>
        </w:rPr>
        <w:t>（2）投标厂家未按时间节点进行应标，递交合格的的投标文件，招标人不予受理。</w:t>
      </w:r>
    </w:p>
    <w:p>
      <w:pPr>
        <w:pStyle w:val="8"/>
        <w:spacing w:line="360" w:lineRule="auto"/>
        <w:ind w:firstLine="420" w:firstLineChars="200"/>
        <w:rPr>
          <w:rFonts w:hint="eastAsia" w:ascii="宋体" w:eastAsia="宋体" w:cs="Times New Roman"/>
          <w:lang w:val="en-US" w:eastAsia="zh-CN"/>
        </w:rPr>
      </w:pPr>
      <w:r>
        <w:rPr>
          <w:rFonts w:hint="eastAsia" w:ascii="宋体" w:eastAsia="宋体" w:cs="Times New Roman"/>
          <w:lang w:val="en-US" w:eastAsia="zh-CN"/>
        </w:rPr>
        <w:t>（3）招标单位对投标厂家的资格进行审查，资格审查通过后进入供应商投标流程。开标日期有开始节点，开标节点到达后，招标专家小组会收到投标厂家的技术标及商务标。</w:t>
      </w:r>
    </w:p>
    <w:p>
      <w:pPr>
        <w:pStyle w:val="8"/>
        <w:spacing w:line="360" w:lineRule="auto"/>
        <w:ind w:firstLine="420" w:firstLineChars="200"/>
        <w:rPr>
          <w:rFonts w:hint="eastAsia" w:ascii="宋体" w:eastAsia="宋体" w:cs="Times New Roman"/>
          <w:lang w:val="en-US" w:eastAsia="zh-CN"/>
        </w:rPr>
      </w:pPr>
      <w:r>
        <w:rPr>
          <w:rFonts w:hint="eastAsia" w:ascii="宋体" w:eastAsia="宋体" w:cs="Times New Roman"/>
          <w:lang w:val="en-US" w:eastAsia="zh-CN"/>
        </w:rPr>
        <w:t>（4）线上投标文件分为四个部分（扫描PDF版需加盖公司红章），即资质文件、技术标、商务标、三年财务报表各一份。</w:t>
      </w:r>
    </w:p>
    <w:p>
      <w:pPr>
        <w:pStyle w:val="8"/>
        <w:spacing w:line="360" w:lineRule="auto"/>
        <w:ind w:firstLine="420" w:firstLineChars="200"/>
        <w:rPr>
          <w:rFonts w:hint="default" w:ascii="宋体" w:eastAsia="宋体" w:cs="Times New Roman"/>
          <w:lang w:val="en-US" w:eastAsia="zh-CN"/>
        </w:rPr>
      </w:pPr>
      <w:r>
        <w:rPr>
          <w:rFonts w:hint="eastAsia" w:ascii="宋体" w:eastAsia="宋体" w:cs="Times New Roman"/>
          <w:lang w:val="en-US" w:eastAsia="zh-CN"/>
        </w:rPr>
        <w:t>（5）线上投标过程中投标方请注意应标、投标、开标的时间节点，如错过节点</w:t>
      </w:r>
      <w:r>
        <w:rPr>
          <w:rFonts w:hint="eastAsia" w:cs="Times New Roman"/>
          <w:lang w:val="en-US" w:eastAsia="zh-CN"/>
        </w:rPr>
        <w:t>则</w:t>
      </w:r>
      <w:r>
        <w:rPr>
          <w:rFonts w:hint="eastAsia" w:ascii="宋体" w:eastAsia="宋体" w:cs="Times New Roman"/>
          <w:lang w:val="en-US" w:eastAsia="zh-CN"/>
        </w:rPr>
        <w:t>无法进行招标。</w:t>
      </w:r>
    </w:p>
    <w:p>
      <w:pPr>
        <w:pStyle w:val="8"/>
        <w:spacing w:line="360" w:lineRule="auto"/>
        <w:ind w:firstLine="420" w:firstLineChars="200"/>
        <w:rPr>
          <w:rFonts w:hint="default" w:ascii="宋体" w:eastAsia="宋体" w:cs="Times New Roman"/>
          <w:lang w:val="en-US" w:eastAsia="zh-CN"/>
        </w:rPr>
      </w:pPr>
      <w:r>
        <w:rPr>
          <w:rFonts w:hint="eastAsia" w:ascii="宋体" w:eastAsia="宋体" w:cs="Times New Roman"/>
          <w:lang w:val="en-US" w:eastAsia="zh-CN"/>
        </w:rPr>
        <w:t>3.中国重汽e采通招标说明</w:t>
      </w:r>
    </w:p>
    <w:p>
      <w:pPr>
        <w:pStyle w:val="8"/>
        <w:spacing w:line="360" w:lineRule="auto"/>
        <w:ind w:firstLine="420" w:firstLineChars="200"/>
        <w:rPr>
          <w:rFonts w:hint="eastAsia" w:ascii="宋体" w:eastAsia="宋体" w:cs="Times New Roman"/>
          <w:lang w:val="en-US" w:eastAsia="zh-CN"/>
        </w:rPr>
      </w:pPr>
      <w:r>
        <w:rPr>
          <w:rFonts w:hint="eastAsia" w:ascii="宋体" w:eastAsia="宋体" w:cs="Times New Roman"/>
          <w:lang w:val="en-US" w:eastAsia="zh-CN"/>
        </w:rPr>
        <w:t>（1）建议通过谷歌浏览器，登录网址</w:t>
      </w:r>
      <w:r>
        <w:rPr>
          <w:rFonts w:hint="eastAsia" w:ascii="宋体" w:eastAsia="宋体" w:cs="Times New Roman"/>
          <w:lang w:val="en-US" w:eastAsia="zh-CN"/>
        </w:rPr>
        <w:fldChar w:fldCharType="begin"/>
      </w:r>
      <w:r>
        <w:rPr>
          <w:rFonts w:hint="eastAsia" w:ascii="宋体" w:eastAsia="宋体" w:cs="Times New Roman"/>
          <w:lang w:val="en-US" w:eastAsia="zh-CN"/>
        </w:rPr>
        <w:instrText xml:space="preserve"> HYPERLINK "http://ecaitong.sinotruk.com:8012/#/login" </w:instrText>
      </w:r>
      <w:r>
        <w:rPr>
          <w:rFonts w:hint="eastAsia" w:ascii="宋体" w:eastAsia="宋体" w:cs="Times New Roman"/>
          <w:lang w:val="en-US" w:eastAsia="zh-CN"/>
        </w:rPr>
        <w:fldChar w:fldCharType="separate"/>
      </w:r>
      <w:r>
        <w:rPr>
          <w:rFonts w:hint="eastAsia" w:ascii="宋体" w:eastAsia="宋体" w:cs="Times New Roman"/>
          <w:lang w:val="en-US" w:eastAsia="zh-CN"/>
        </w:rPr>
        <w:t>http://ecaitong.sinotruk.com:8012/#/login</w:t>
      </w:r>
      <w:r>
        <w:rPr>
          <w:rFonts w:hint="eastAsia" w:ascii="宋体" w:eastAsia="宋体" w:cs="Times New Roman"/>
          <w:lang w:val="en-US" w:eastAsia="zh-CN"/>
        </w:rPr>
        <w:fldChar w:fldCharType="end"/>
      </w:r>
    </w:p>
    <w:p>
      <w:pPr>
        <w:pStyle w:val="8"/>
        <w:spacing w:line="360" w:lineRule="auto"/>
        <w:ind w:firstLine="420" w:firstLineChars="200"/>
        <w:rPr>
          <w:rFonts w:hint="default" w:ascii="宋体" w:eastAsia="宋体" w:cs="Times New Roman"/>
          <w:lang w:val="en-US" w:eastAsia="zh-CN"/>
        </w:rPr>
      </w:pPr>
      <w:r>
        <w:rPr>
          <w:rFonts w:hint="eastAsia" w:ascii="宋体" w:eastAsia="宋体" w:cs="Times New Roman"/>
          <w:lang w:val="en-US" w:eastAsia="zh-CN"/>
        </w:rPr>
        <w:t>（2）注册前，请仔细阅读登录页面下方《供应商用户手册》</w:t>
      </w:r>
    </w:p>
    <w:p>
      <w:pPr>
        <w:pStyle w:val="8"/>
        <w:spacing w:line="360" w:lineRule="auto"/>
        <w:ind w:firstLine="420" w:firstLineChars="200"/>
        <w:rPr>
          <w:rFonts w:hint="default" w:ascii="宋体" w:eastAsia="宋体" w:cs="Times New Roman"/>
          <w:lang w:val="en-US" w:eastAsia="zh-CN"/>
        </w:rPr>
      </w:pPr>
      <w:r>
        <w:rPr>
          <w:rFonts w:hint="eastAsia" w:ascii="宋体" w:eastAsia="宋体" w:cs="Times New Roman"/>
          <w:lang w:val="en-US" w:eastAsia="zh-CN"/>
        </w:rPr>
        <w:t>（2）新厂家使用手机号进行注册，注册成功后再刷新登录，注册成功后，手机短将发送供应商的用户初始密码。以上操作需要2-3天时间。</w:t>
      </w:r>
    </w:p>
    <w:p>
      <w:pPr>
        <w:pStyle w:val="8"/>
        <w:spacing w:line="360" w:lineRule="auto"/>
        <w:ind w:firstLine="420" w:firstLineChars="200"/>
        <w:rPr>
          <w:rFonts w:hint="eastAsia" w:ascii="宋体" w:eastAsia="宋体" w:cs="Times New Roman"/>
          <w:lang w:val="en-US" w:eastAsia="zh-CN"/>
        </w:rPr>
      </w:pPr>
      <w:r>
        <w:rPr>
          <w:rFonts w:hint="eastAsia" w:ascii="宋体" w:eastAsia="宋体" w:cs="Times New Roman"/>
          <w:lang w:val="en-US" w:eastAsia="zh-CN"/>
        </w:rPr>
        <w:t>（3）等准入流程审批完成后系统会将发送gys＋6位编号的登录账号，如:gys101329；gys是厂家的固定代码（供应商），101329是供应商的代码。</w:t>
      </w:r>
    </w:p>
    <w:p>
      <w:pPr>
        <w:pStyle w:val="8"/>
        <w:spacing w:line="360" w:lineRule="auto"/>
        <w:ind w:firstLine="420" w:firstLineChars="200"/>
        <w:rPr>
          <w:rFonts w:hint="eastAsia" w:ascii="宋体" w:eastAsia="宋体" w:cs="Times New Roman"/>
          <w:lang w:val="en-US" w:eastAsia="zh-CN"/>
        </w:rPr>
      </w:pPr>
      <w:r>
        <w:rPr>
          <w:rFonts w:hint="eastAsia" w:ascii="宋体" w:eastAsia="宋体" w:cs="Times New Roman"/>
          <w:lang w:val="en-US" w:eastAsia="zh-CN"/>
        </w:rPr>
        <w:t>（4）进入后打开招投标中心一栏，选择非生产类招标，按招标步骤完成各项招标流程。供应商应标--供应商投标--技术澄清--供应商报价--供应商澄清报价--中标项目。</w:t>
      </w:r>
    </w:p>
    <w:p>
      <w:pPr>
        <w:pStyle w:val="8"/>
        <w:spacing w:line="360" w:lineRule="auto"/>
        <w:ind w:firstLine="420" w:firstLineChars="200"/>
        <w:rPr>
          <w:rFonts w:hint="default" w:ascii="宋体" w:eastAsia="宋体" w:cs="Times New Roman"/>
          <w:lang w:val="en-US" w:eastAsia="zh-CN"/>
        </w:rPr>
      </w:pPr>
      <w:r>
        <w:rPr>
          <w:rFonts w:hint="eastAsia" w:cs="Times New Roman"/>
          <w:lang w:val="en-US" w:eastAsia="zh-CN"/>
        </w:rPr>
        <w:t>注：具体操作流程可见附件5</w:t>
      </w:r>
    </w:p>
    <w:p>
      <w:pPr>
        <w:pStyle w:val="8"/>
        <w:spacing w:line="360" w:lineRule="auto"/>
        <w:ind w:firstLine="420" w:firstLineChars="200"/>
        <w:rPr>
          <w:rFonts w:hint="eastAsia" w:ascii="宋体" w:eastAsia="宋体" w:cs="Times New Roman"/>
          <w:lang w:val="en-US" w:eastAsia="zh-CN"/>
        </w:rPr>
      </w:pPr>
      <w:bookmarkStart w:id="1" w:name="OLE_LINK3"/>
      <w:bookmarkStart w:id="2" w:name="OLE_LINK2"/>
      <w:r>
        <w:rPr>
          <w:rFonts w:hint="eastAsia" w:ascii="宋体" w:eastAsia="宋体" w:cs="Times New Roman"/>
          <w:lang w:val="en-US" w:eastAsia="zh-CN"/>
        </w:rPr>
        <w:t>4.</w:t>
      </w:r>
      <w:bookmarkEnd w:id="1"/>
      <w:bookmarkEnd w:id="2"/>
      <w:r>
        <w:rPr>
          <w:rFonts w:hint="eastAsia" w:ascii="宋体" w:eastAsia="宋体" w:cs="Times New Roman"/>
          <w:lang w:val="en-US" w:eastAsia="zh-CN"/>
        </w:rPr>
        <w:t>投标有关事项联系方式：</w:t>
      </w:r>
    </w:p>
    <w:p>
      <w:pPr>
        <w:pStyle w:val="8"/>
        <w:spacing w:line="360" w:lineRule="auto"/>
        <w:ind w:firstLine="420" w:firstLineChars="200"/>
        <w:rPr>
          <w:rFonts w:hint="default" w:ascii="宋体" w:eastAsia="宋体" w:cs="Times New Roman"/>
          <w:lang w:val="en-US" w:eastAsia="zh-CN"/>
        </w:rPr>
      </w:pPr>
      <w:r>
        <w:rPr>
          <w:rFonts w:hint="eastAsia" w:ascii="宋体" w:eastAsia="宋体" w:cs="Times New Roman"/>
          <w:lang w:eastAsia="zh-CN"/>
        </w:rPr>
        <w:t>联系人： 于洋   电话：</w:t>
      </w:r>
      <w:r>
        <w:rPr>
          <w:rFonts w:hint="eastAsia" w:ascii="宋体" w:eastAsia="宋体" w:cs="Times New Roman"/>
          <w:lang w:val="en-US" w:eastAsia="zh-CN"/>
        </w:rPr>
        <w:t>15589912536</w:t>
      </w:r>
      <w:r>
        <w:rPr>
          <w:rFonts w:hint="eastAsia" w:ascii="宋体" w:eastAsia="宋体" w:cs="Times New Roman"/>
          <w:lang w:eastAsia="zh-CN"/>
        </w:rPr>
        <w:t xml:space="preserve">    </w:t>
      </w:r>
    </w:p>
    <w:p>
      <w:pPr>
        <w:pStyle w:val="8"/>
        <w:spacing w:line="360" w:lineRule="auto"/>
        <w:ind w:firstLine="426"/>
        <w:rPr>
          <w:rFonts w:hint="eastAsia" w:hAnsi="宋体" w:cs="Times New Roman"/>
        </w:rPr>
      </w:pPr>
      <w:r>
        <w:rPr>
          <w:rFonts w:hint="eastAsia" w:cs="Times New Roman"/>
        </w:rPr>
        <w:t>地址：</w:t>
      </w:r>
      <w:r>
        <w:rPr>
          <w:rFonts w:hint="eastAsia" w:hAnsi="宋体" w:cs="Times New Roman"/>
        </w:rPr>
        <w:t>济南市历城区舜华南路688号。</w:t>
      </w:r>
    </w:p>
    <w:p>
      <w:pPr>
        <w:pStyle w:val="8"/>
        <w:spacing w:line="360" w:lineRule="auto"/>
        <w:ind w:firstLine="426"/>
        <w:rPr>
          <w:rFonts w:hint="eastAsia" w:hAnsi="宋体" w:cs="Times New Roman"/>
        </w:rPr>
      </w:pPr>
    </w:p>
    <w:p>
      <w:pPr>
        <w:pStyle w:val="8"/>
        <w:spacing w:line="360" w:lineRule="auto"/>
        <w:rPr>
          <w:rFonts w:ascii="黑体" w:eastAsia="黑体"/>
          <w:b/>
          <w:bCs/>
          <w:sz w:val="28"/>
        </w:rPr>
      </w:pPr>
      <w:r>
        <w:rPr>
          <w:rFonts w:hint="eastAsia" w:ascii="黑体" w:eastAsia="黑体"/>
          <w:b/>
          <w:bCs/>
          <w:sz w:val="28"/>
        </w:rPr>
        <w:t>六、评标</w:t>
      </w:r>
    </w:p>
    <w:p>
      <w:pPr>
        <w:pStyle w:val="8"/>
        <w:spacing w:line="360" w:lineRule="auto"/>
        <w:ind w:firstLine="420" w:firstLineChars="200"/>
      </w:pPr>
      <w:r>
        <w:rPr>
          <w:rFonts w:hint="eastAsia"/>
        </w:rPr>
        <w:t>1</w:t>
      </w:r>
      <w:r>
        <w:t>.</w:t>
      </w:r>
      <w:r>
        <w:rPr>
          <w:rFonts w:hint="eastAsia"/>
        </w:rPr>
        <w:t>评标</w:t>
      </w:r>
    </w:p>
    <w:p>
      <w:pPr>
        <w:pStyle w:val="8"/>
        <w:spacing w:line="360" w:lineRule="auto"/>
        <w:ind w:firstLine="420" w:firstLineChars="200"/>
      </w:pPr>
      <w:r>
        <w:rPr>
          <w:rFonts w:hint="eastAsia"/>
        </w:rPr>
        <w:t>评标工作由招标人为该项目依法组织的、由三人及以上单数成员（视标的额大小按规定确定专家人数）组成的评标工作小组负责，参照以下评分标准，采用综合评定法，即由评标工作小组按照国家招投标有关规定，本着公平、公正、公开、有序的原则，在最大限度地满足招标文件实质性要求的前提下，按照招标文件中规定的各项因素进行综合评审，并根据报价情况同时结合项目需求，依据本招标书列示的相关报价规则，不保证最低报价投标人中标，需根据综合评审结果确定中标候选人及中标项目，对未中标人不做任何解释。</w:t>
      </w:r>
    </w:p>
    <w:p>
      <w:pPr>
        <w:pStyle w:val="8"/>
        <w:spacing w:line="360" w:lineRule="auto"/>
        <w:ind w:firstLine="420" w:firstLineChars="200"/>
        <w:rPr>
          <w:rFonts w:hAnsi="宋体"/>
          <w:szCs w:val="21"/>
        </w:rPr>
      </w:pPr>
      <w:r>
        <w:rPr>
          <w:rFonts w:hint="eastAsia" w:hAnsi="宋体"/>
          <w:szCs w:val="21"/>
        </w:rPr>
        <w:t>2</w:t>
      </w:r>
      <w:bookmarkStart w:id="3" w:name="OLE_LINK4"/>
      <w:r>
        <w:rPr>
          <w:rFonts w:hint="eastAsia" w:hAnsi="宋体"/>
          <w:szCs w:val="21"/>
        </w:rPr>
        <w:t>.评分标准</w:t>
      </w:r>
      <w:bookmarkEnd w:id="3"/>
    </w:p>
    <w:tbl>
      <w:tblPr>
        <w:tblStyle w:val="16"/>
        <w:tblW w:w="8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816"/>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76" w:type="dxa"/>
            <w:tcBorders>
              <w:tl2br w:val="nil"/>
              <w:tr2bl w:val="nil"/>
            </w:tcBorders>
            <w:shd w:val="clear" w:color="auto" w:fill="auto"/>
            <w:vAlign w:val="center"/>
          </w:tcPr>
          <w:p>
            <w:pPr>
              <w:widowControl/>
              <w:jc w:val="center"/>
              <w:rPr>
                <w:rFonts w:ascii="宋体" w:hAnsi="宋体" w:cstheme="minorBidi"/>
                <w:szCs w:val="21"/>
              </w:rPr>
            </w:pPr>
            <w:r>
              <w:rPr>
                <w:rFonts w:hint="eastAsia" w:ascii="宋体" w:hAnsi="宋体" w:cstheme="minorBidi"/>
                <w:szCs w:val="21"/>
              </w:rPr>
              <w:t>得分项</w:t>
            </w:r>
          </w:p>
        </w:tc>
        <w:tc>
          <w:tcPr>
            <w:tcW w:w="6984" w:type="dxa"/>
            <w:gridSpan w:val="2"/>
            <w:tcBorders>
              <w:tl2br w:val="nil"/>
              <w:tr2bl w:val="nil"/>
            </w:tcBorders>
            <w:shd w:val="clear" w:color="auto" w:fill="auto"/>
            <w:vAlign w:val="center"/>
          </w:tcPr>
          <w:p>
            <w:pPr>
              <w:widowControl/>
              <w:jc w:val="center"/>
              <w:rPr>
                <w:rFonts w:ascii="宋体" w:hAnsi="宋体" w:cstheme="minorBidi"/>
                <w:szCs w:val="21"/>
              </w:rPr>
            </w:pPr>
            <w:r>
              <w:rPr>
                <w:rFonts w:hint="eastAsia" w:ascii="宋体" w:hAnsi="宋体" w:cstheme="minorBidi"/>
                <w:szCs w:val="21"/>
              </w:rPr>
              <w:t>评审内容（共100分）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276" w:type="dxa"/>
            <w:vMerge w:val="restart"/>
            <w:tcBorders>
              <w:tl2br w:val="nil"/>
              <w:tr2bl w:val="nil"/>
            </w:tcBorders>
            <w:shd w:val="clear" w:color="auto" w:fill="auto"/>
            <w:vAlign w:val="center"/>
          </w:tcPr>
          <w:p>
            <w:pPr>
              <w:widowControl/>
              <w:jc w:val="center"/>
              <w:rPr>
                <w:rFonts w:ascii="宋体" w:hAnsi="宋体" w:cstheme="minorBidi"/>
                <w:szCs w:val="21"/>
              </w:rPr>
            </w:pPr>
            <w:r>
              <w:rPr>
                <w:rFonts w:hint="eastAsia" w:ascii="宋体" w:hAnsi="宋体" w:cstheme="minorBidi"/>
                <w:szCs w:val="21"/>
              </w:rPr>
              <w:t>技术标</w:t>
            </w:r>
            <w:r>
              <w:rPr>
                <w:rFonts w:hint="eastAsia" w:ascii="宋体" w:hAnsi="宋体" w:cstheme="minorBidi"/>
                <w:szCs w:val="21"/>
              </w:rPr>
              <w:br w:type="textWrapping"/>
            </w:r>
            <w:r>
              <w:rPr>
                <w:rFonts w:hint="eastAsia" w:ascii="宋体" w:hAnsi="宋体" w:cstheme="minorBidi"/>
                <w:szCs w:val="21"/>
              </w:rPr>
              <w:t>（</w:t>
            </w:r>
            <w:r>
              <w:rPr>
                <w:rFonts w:ascii="宋体" w:hAnsi="宋体" w:cstheme="minorBidi"/>
                <w:szCs w:val="21"/>
              </w:rPr>
              <w:t>4</w:t>
            </w:r>
            <w:r>
              <w:rPr>
                <w:rFonts w:hint="eastAsia" w:ascii="宋体" w:hAnsi="宋体" w:cstheme="minorBidi"/>
                <w:szCs w:val="21"/>
              </w:rPr>
              <w:t>0分）</w:t>
            </w:r>
          </w:p>
        </w:tc>
        <w:tc>
          <w:tcPr>
            <w:tcW w:w="1816" w:type="dxa"/>
            <w:tcBorders>
              <w:tl2br w:val="nil"/>
              <w:tr2bl w:val="nil"/>
            </w:tcBorders>
            <w:shd w:val="clear" w:color="auto" w:fill="auto"/>
            <w:vAlign w:val="center"/>
          </w:tcPr>
          <w:p>
            <w:pPr>
              <w:widowControl/>
              <w:jc w:val="center"/>
              <w:rPr>
                <w:rFonts w:ascii="宋体" w:hAnsi="宋体" w:cstheme="minorBidi"/>
                <w:szCs w:val="21"/>
              </w:rPr>
            </w:pPr>
            <w:r>
              <w:rPr>
                <w:rFonts w:hint="eastAsia" w:ascii="宋体" w:hAnsi="宋体" w:cstheme="minorBidi"/>
                <w:szCs w:val="21"/>
              </w:rPr>
              <w:t>资质、规模</w:t>
            </w:r>
            <w:r>
              <w:rPr>
                <w:rFonts w:hint="eastAsia" w:ascii="宋体" w:hAnsi="宋体" w:cstheme="minorBidi"/>
                <w:szCs w:val="21"/>
              </w:rPr>
              <w:br w:type="textWrapping"/>
            </w:r>
            <w:r>
              <w:rPr>
                <w:rFonts w:hint="eastAsia" w:ascii="宋体" w:hAnsi="宋体" w:cstheme="minorBidi"/>
                <w:szCs w:val="21"/>
              </w:rPr>
              <w:t>（</w:t>
            </w:r>
            <w:r>
              <w:rPr>
                <w:rFonts w:ascii="宋体" w:hAnsi="宋体" w:cstheme="minorBidi"/>
                <w:szCs w:val="21"/>
              </w:rPr>
              <w:t>5</w:t>
            </w:r>
            <w:r>
              <w:rPr>
                <w:rFonts w:hint="eastAsia" w:ascii="宋体" w:hAnsi="宋体" w:cstheme="minorBidi"/>
                <w:szCs w:val="21"/>
              </w:rPr>
              <w:t>分）</w:t>
            </w:r>
          </w:p>
        </w:tc>
        <w:tc>
          <w:tcPr>
            <w:tcW w:w="5168" w:type="dxa"/>
            <w:tcBorders>
              <w:tl2br w:val="nil"/>
              <w:tr2bl w:val="nil"/>
            </w:tcBorders>
            <w:shd w:val="clear" w:color="auto" w:fill="auto"/>
            <w:vAlign w:val="center"/>
          </w:tcPr>
          <w:p>
            <w:pPr>
              <w:widowControl/>
              <w:jc w:val="left"/>
              <w:rPr>
                <w:rFonts w:ascii="宋体" w:hAnsi="宋体" w:cstheme="minorBidi"/>
                <w:szCs w:val="21"/>
              </w:rPr>
            </w:pPr>
            <w:r>
              <w:rPr>
                <w:rFonts w:hint="eastAsia" w:ascii="宋体" w:hAnsi="宋体" w:cstheme="minorBidi"/>
                <w:szCs w:val="21"/>
              </w:rPr>
              <w:t>根据竞标单位在所属行业中的资质水平及企业业务规模情况，分为优秀、符合、基本满足三个等级，分别酌情赋分，其中：</w:t>
            </w:r>
            <w:r>
              <w:rPr>
                <w:rFonts w:hint="eastAsia" w:ascii="宋体" w:hAnsi="宋体" w:cstheme="minorBidi"/>
                <w:szCs w:val="21"/>
              </w:rPr>
              <w:br w:type="textWrapping"/>
            </w:r>
            <w:r>
              <w:rPr>
                <w:rFonts w:hint="eastAsia" w:ascii="宋体" w:hAnsi="宋体" w:cstheme="minorBidi"/>
                <w:szCs w:val="21"/>
              </w:rPr>
              <w:t>优秀得5分；</w:t>
            </w:r>
            <w:r>
              <w:rPr>
                <w:rFonts w:hint="eastAsia" w:ascii="宋体" w:hAnsi="宋体" w:cstheme="minorBidi"/>
                <w:szCs w:val="21"/>
              </w:rPr>
              <w:br w:type="textWrapping"/>
            </w:r>
            <w:r>
              <w:rPr>
                <w:rFonts w:hint="eastAsia" w:ascii="宋体" w:hAnsi="宋体" w:cstheme="minorBidi"/>
                <w:szCs w:val="21"/>
              </w:rPr>
              <w:t>符合得3-4分；</w:t>
            </w:r>
            <w:r>
              <w:rPr>
                <w:rFonts w:hint="eastAsia" w:ascii="宋体" w:hAnsi="宋体" w:cstheme="minorBidi"/>
                <w:szCs w:val="21"/>
              </w:rPr>
              <w:br w:type="textWrapping"/>
            </w:r>
            <w:r>
              <w:rPr>
                <w:rFonts w:hint="eastAsia" w:ascii="宋体" w:hAnsi="宋体" w:cstheme="minorBidi"/>
                <w:szCs w:val="21"/>
              </w:rPr>
              <w:t>基本满足得1-2分。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276" w:type="dxa"/>
            <w:vMerge w:val="continue"/>
            <w:tcBorders>
              <w:tl2br w:val="nil"/>
              <w:tr2bl w:val="nil"/>
            </w:tcBorders>
            <w:vAlign w:val="center"/>
          </w:tcPr>
          <w:p>
            <w:pPr>
              <w:widowControl/>
              <w:jc w:val="left"/>
              <w:rPr>
                <w:rFonts w:ascii="宋体" w:hAnsi="宋体" w:cstheme="minorBidi"/>
                <w:szCs w:val="21"/>
              </w:rPr>
            </w:pPr>
          </w:p>
        </w:tc>
        <w:tc>
          <w:tcPr>
            <w:tcW w:w="1816" w:type="dxa"/>
            <w:tcBorders>
              <w:tl2br w:val="nil"/>
              <w:tr2bl w:val="nil"/>
            </w:tcBorders>
            <w:shd w:val="clear" w:color="auto" w:fill="auto"/>
            <w:vAlign w:val="center"/>
          </w:tcPr>
          <w:p>
            <w:pPr>
              <w:widowControl/>
              <w:jc w:val="center"/>
              <w:rPr>
                <w:rFonts w:ascii="宋体" w:hAnsi="宋体" w:cstheme="minorBidi"/>
                <w:szCs w:val="21"/>
              </w:rPr>
            </w:pPr>
            <w:r>
              <w:rPr>
                <w:rFonts w:hint="eastAsia" w:ascii="宋体" w:hAnsi="宋体" w:cstheme="minorBidi"/>
                <w:szCs w:val="21"/>
              </w:rPr>
              <w:t>经营实力</w:t>
            </w:r>
            <w:r>
              <w:rPr>
                <w:rFonts w:hint="eastAsia" w:ascii="宋体" w:hAnsi="宋体" w:cstheme="minorBidi"/>
                <w:szCs w:val="21"/>
              </w:rPr>
              <w:br w:type="textWrapping"/>
            </w:r>
            <w:r>
              <w:rPr>
                <w:rFonts w:hint="eastAsia" w:ascii="宋体" w:hAnsi="宋体" w:cstheme="minorBidi"/>
                <w:szCs w:val="21"/>
              </w:rPr>
              <w:t>（</w:t>
            </w:r>
            <w:r>
              <w:rPr>
                <w:rFonts w:ascii="宋体" w:hAnsi="宋体" w:cstheme="minorBidi"/>
                <w:szCs w:val="21"/>
              </w:rPr>
              <w:t>10</w:t>
            </w:r>
            <w:r>
              <w:rPr>
                <w:rFonts w:hint="eastAsia" w:ascii="宋体" w:hAnsi="宋体" w:cstheme="minorBidi"/>
                <w:szCs w:val="21"/>
              </w:rPr>
              <w:t>分）</w:t>
            </w:r>
          </w:p>
        </w:tc>
        <w:tc>
          <w:tcPr>
            <w:tcW w:w="5168" w:type="dxa"/>
            <w:tcBorders>
              <w:tl2br w:val="nil"/>
              <w:tr2bl w:val="nil"/>
            </w:tcBorders>
            <w:shd w:val="clear" w:color="auto" w:fill="auto"/>
            <w:vAlign w:val="center"/>
          </w:tcPr>
          <w:p>
            <w:pPr>
              <w:widowControl/>
              <w:jc w:val="left"/>
              <w:rPr>
                <w:rFonts w:ascii="宋体" w:hAnsi="宋体" w:cstheme="minorBidi"/>
                <w:szCs w:val="21"/>
              </w:rPr>
            </w:pPr>
            <w:r>
              <w:rPr>
                <w:rFonts w:hint="eastAsia" w:ascii="宋体" w:hAnsi="宋体" w:cstheme="minorBidi"/>
                <w:szCs w:val="21"/>
              </w:rPr>
              <w:t>根据竞标单位实际经营实力和业务实力，分为优秀、符合、基本满足三个等级，分别酌情赋分，其中：</w:t>
            </w:r>
            <w:r>
              <w:rPr>
                <w:rFonts w:hint="eastAsia" w:ascii="宋体" w:hAnsi="宋体" w:cstheme="minorBidi"/>
                <w:szCs w:val="21"/>
              </w:rPr>
              <w:br w:type="textWrapping"/>
            </w:r>
            <w:r>
              <w:rPr>
                <w:rFonts w:hint="eastAsia" w:ascii="宋体" w:hAnsi="宋体" w:cstheme="minorBidi"/>
                <w:szCs w:val="21"/>
              </w:rPr>
              <w:t>优秀得9-</w:t>
            </w:r>
            <w:r>
              <w:rPr>
                <w:rFonts w:ascii="宋体" w:hAnsi="宋体" w:cstheme="minorBidi"/>
                <w:szCs w:val="21"/>
              </w:rPr>
              <w:t>10</w:t>
            </w:r>
            <w:r>
              <w:rPr>
                <w:rFonts w:hint="eastAsia" w:ascii="宋体" w:hAnsi="宋体" w:cstheme="minorBidi"/>
                <w:szCs w:val="21"/>
              </w:rPr>
              <w:t>分；</w:t>
            </w:r>
            <w:r>
              <w:rPr>
                <w:rFonts w:hint="eastAsia" w:ascii="宋体" w:hAnsi="宋体" w:cstheme="minorBidi"/>
                <w:szCs w:val="21"/>
              </w:rPr>
              <w:br w:type="textWrapping"/>
            </w:r>
            <w:r>
              <w:rPr>
                <w:rFonts w:hint="eastAsia" w:ascii="宋体" w:hAnsi="宋体" w:cstheme="minorBidi"/>
                <w:szCs w:val="21"/>
              </w:rPr>
              <w:t>符合得</w:t>
            </w:r>
            <w:r>
              <w:rPr>
                <w:rFonts w:ascii="宋体" w:hAnsi="宋体" w:cstheme="minorBidi"/>
                <w:szCs w:val="21"/>
              </w:rPr>
              <w:t>6</w:t>
            </w:r>
            <w:r>
              <w:rPr>
                <w:rFonts w:hint="eastAsia" w:ascii="宋体" w:hAnsi="宋体" w:cstheme="minorBidi"/>
                <w:szCs w:val="21"/>
              </w:rPr>
              <w:t>-</w:t>
            </w:r>
            <w:r>
              <w:rPr>
                <w:rFonts w:ascii="宋体" w:hAnsi="宋体" w:cstheme="minorBidi"/>
                <w:szCs w:val="21"/>
              </w:rPr>
              <w:t>9</w:t>
            </w:r>
            <w:r>
              <w:rPr>
                <w:rFonts w:hint="eastAsia" w:ascii="宋体" w:hAnsi="宋体" w:cstheme="minorBidi"/>
                <w:szCs w:val="21"/>
              </w:rPr>
              <w:t>分；</w:t>
            </w:r>
            <w:r>
              <w:rPr>
                <w:rFonts w:hint="eastAsia" w:ascii="宋体" w:hAnsi="宋体" w:cstheme="minorBidi"/>
                <w:szCs w:val="21"/>
              </w:rPr>
              <w:br w:type="textWrapping"/>
            </w:r>
            <w:r>
              <w:rPr>
                <w:rFonts w:hint="eastAsia" w:ascii="宋体" w:hAnsi="宋体" w:cstheme="minorBidi"/>
                <w:szCs w:val="21"/>
              </w:rPr>
              <w:t>基本满足得</w:t>
            </w:r>
            <w:r>
              <w:rPr>
                <w:rFonts w:ascii="宋体" w:hAnsi="宋体" w:cstheme="minorBidi"/>
                <w:szCs w:val="21"/>
              </w:rPr>
              <w:t>2</w:t>
            </w:r>
            <w:r>
              <w:rPr>
                <w:rFonts w:hint="eastAsia" w:ascii="宋体" w:hAnsi="宋体" w:cstheme="minorBidi"/>
                <w:szCs w:val="21"/>
              </w:rPr>
              <w:t>-</w:t>
            </w:r>
            <w:r>
              <w:rPr>
                <w:rFonts w:ascii="宋体" w:hAnsi="宋体" w:cstheme="minorBidi"/>
                <w:szCs w:val="21"/>
              </w:rPr>
              <w:t>5</w:t>
            </w:r>
            <w:r>
              <w:rPr>
                <w:rFonts w:hint="eastAsia" w:ascii="宋体" w:hAnsi="宋体" w:cstheme="minorBidi"/>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276" w:type="dxa"/>
            <w:vMerge w:val="continue"/>
            <w:tcBorders>
              <w:tl2br w:val="nil"/>
              <w:tr2bl w:val="nil"/>
            </w:tcBorders>
            <w:vAlign w:val="center"/>
          </w:tcPr>
          <w:p>
            <w:pPr>
              <w:widowControl/>
              <w:jc w:val="left"/>
              <w:rPr>
                <w:rFonts w:ascii="宋体" w:hAnsi="宋体" w:cstheme="minorBidi"/>
                <w:szCs w:val="21"/>
              </w:rPr>
            </w:pPr>
          </w:p>
        </w:tc>
        <w:tc>
          <w:tcPr>
            <w:tcW w:w="1816" w:type="dxa"/>
            <w:tcBorders>
              <w:tl2br w:val="nil"/>
              <w:tr2bl w:val="nil"/>
            </w:tcBorders>
            <w:shd w:val="clear" w:color="auto" w:fill="auto"/>
            <w:vAlign w:val="center"/>
          </w:tcPr>
          <w:p>
            <w:pPr>
              <w:widowControl/>
              <w:jc w:val="center"/>
              <w:rPr>
                <w:rFonts w:ascii="宋体" w:hAnsi="宋体" w:cstheme="minorBidi"/>
                <w:szCs w:val="21"/>
              </w:rPr>
            </w:pPr>
            <w:r>
              <w:rPr>
                <w:rFonts w:hint="eastAsia" w:ascii="宋体" w:hAnsi="宋体" w:cstheme="minorBidi"/>
                <w:szCs w:val="21"/>
              </w:rPr>
              <w:t>培训方案</w:t>
            </w:r>
          </w:p>
          <w:p>
            <w:pPr>
              <w:widowControl/>
              <w:jc w:val="center"/>
              <w:rPr>
                <w:rFonts w:ascii="宋体" w:hAnsi="宋体" w:cstheme="minorBidi"/>
                <w:szCs w:val="21"/>
              </w:rPr>
            </w:pPr>
            <w:r>
              <w:rPr>
                <w:rFonts w:hint="eastAsia" w:ascii="宋体" w:hAnsi="宋体" w:cstheme="minorBidi"/>
                <w:szCs w:val="21"/>
              </w:rPr>
              <w:t>（</w:t>
            </w:r>
            <w:r>
              <w:rPr>
                <w:rFonts w:ascii="宋体" w:hAnsi="宋体" w:cstheme="minorBidi"/>
                <w:szCs w:val="21"/>
              </w:rPr>
              <w:t>15</w:t>
            </w:r>
            <w:r>
              <w:rPr>
                <w:rFonts w:hint="eastAsia" w:ascii="宋体" w:hAnsi="宋体" w:cstheme="minorBidi"/>
                <w:szCs w:val="21"/>
              </w:rPr>
              <w:t>分）</w:t>
            </w:r>
          </w:p>
        </w:tc>
        <w:tc>
          <w:tcPr>
            <w:tcW w:w="5168" w:type="dxa"/>
            <w:tcBorders>
              <w:tl2br w:val="nil"/>
              <w:tr2bl w:val="nil"/>
            </w:tcBorders>
            <w:shd w:val="clear" w:color="auto" w:fill="auto"/>
            <w:vAlign w:val="center"/>
          </w:tcPr>
          <w:p>
            <w:pPr>
              <w:widowControl/>
              <w:jc w:val="left"/>
              <w:rPr>
                <w:rFonts w:ascii="宋体" w:hAnsi="宋体" w:cstheme="minorBidi"/>
                <w:szCs w:val="21"/>
              </w:rPr>
            </w:pPr>
            <w:r>
              <w:rPr>
                <w:rFonts w:hint="eastAsia" w:ascii="宋体" w:hAnsi="宋体" w:cstheme="minorBidi"/>
                <w:szCs w:val="21"/>
              </w:rPr>
              <w:t xml:space="preserve">根据竞标单位提供的培训方案情况，分为优秀、符合、基本满足三个等级，分别酌情赋分，其中： </w:t>
            </w:r>
            <w:r>
              <w:rPr>
                <w:rFonts w:ascii="宋体" w:hAnsi="宋体" w:cstheme="minorBidi"/>
                <w:szCs w:val="21"/>
              </w:rPr>
              <w:t xml:space="preserve">                              </w:t>
            </w:r>
            <w:r>
              <w:rPr>
                <w:rFonts w:hint="eastAsia" w:ascii="宋体" w:hAnsi="宋体" w:cstheme="minorBidi"/>
                <w:szCs w:val="21"/>
              </w:rPr>
              <w:t>优秀得</w:t>
            </w:r>
            <w:r>
              <w:rPr>
                <w:rFonts w:ascii="宋体" w:hAnsi="宋体" w:cstheme="minorBidi"/>
                <w:szCs w:val="21"/>
              </w:rPr>
              <w:t>12</w:t>
            </w:r>
            <w:r>
              <w:rPr>
                <w:rFonts w:hint="eastAsia" w:ascii="宋体" w:hAnsi="宋体" w:cstheme="minorBidi"/>
                <w:szCs w:val="21"/>
              </w:rPr>
              <w:t>-</w:t>
            </w:r>
            <w:r>
              <w:rPr>
                <w:rFonts w:ascii="宋体" w:hAnsi="宋体" w:cstheme="minorBidi"/>
                <w:szCs w:val="21"/>
              </w:rPr>
              <w:t>15</w:t>
            </w:r>
            <w:r>
              <w:rPr>
                <w:rFonts w:hint="eastAsia" w:ascii="宋体" w:hAnsi="宋体" w:cstheme="minorBidi"/>
                <w:szCs w:val="21"/>
              </w:rPr>
              <w:t>分；</w:t>
            </w:r>
            <w:r>
              <w:rPr>
                <w:rFonts w:hint="eastAsia" w:ascii="宋体" w:hAnsi="宋体" w:cstheme="minorBidi"/>
                <w:szCs w:val="21"/>
              </w:rPr>
              <w:br w:type="textWrapping"/>
            </w:r>
            <w:r>
              <w:rPr>
                <w:rFonts w:hint="eastAsia" w:ascii="宋体" w:hAnsi="宋体" w:cstheme="minorBidi"/>
                <w:szCs w:val="21"/>
              </w:rPr>
              <w:t>符合得</w:t>
            </w:r>
            <w:r>
              <w:rPr>
                <w:rFonts w:ascii="宋体" w:hAnsi="宋体" w:cstheme="minorBidi"/>
                <w:szCs w:val="21"/>
              </w:rPr>
              <w:t>8</w:t>
            </w:r>
            <w:r>
              <w:rPr>
                <w:rFonts w:hint="eastAsia" w:ascii="宋体" w:hAnsi="宋体" w:cstheme="minorBidi"/>
                <w:szCs w:val="21"/>
              </w:rPr>
              <w:t>-</w:t>
            </w:r>
            <w:r>
              <w:rPr>
                <w:rFonts w:ascii="宋体" w:hAnsi="宋体" w:cstheme="minorBidi"/>
                <w:szCs w:val="21"/>
              </w:rPr>
              <w:t>11</w:t>
            </w:r>
            <w:r>
              <w:rPr>
                <w:rFonts w:hint="eastAsia" w:ascii="宋体" w:hAnsi="宋体" w:cstheme="minorBidi"/>
                <w:szCs w:val="21"/>
              </w:rPr>
              <w:t>分；</w:t>
            </w:r>
            <w:r>
              <w:rPr>
                <w:rFonts w:hint="eastAsia" w:ascii="宋体" w:hAnsi="宋体" w:cstheme="minorBidi"/>
                <w:szCs w:val="21"/>
              </w:rPr>
              <w:br w:type="textWrapping"/>
            </w:r>
            <w:r>
              <w:rPr>
                <w:rFonts w:hint="eastAsia" w:ascii="宋体" w:hAnsi="宋体" w:cstheme="minorBidi"/>
                <w:szCs w:val="21"/>
              </w:rPr>
              <w:t>基本满足得</w:t>
            </w:r>
            <w:r>
              <w:rPr>
                <w:rFonts w:ascii="宋体" w:hAnsi="宋体" w:cstheme="minorBidi"/>
                <w:szCs w:val="21"/>
              </w:rPr>
              <w:t>3</w:t>
            </w:r>
            <w:r>
              <w:rPr>
                <w:rFonts w:hint="eastAsia" w:ascii="宋体" w:hAnsi="宋体" w:cstheme="minorBidi"/>
                <w:szCs w:val="21"/>
              </w:rPr>
              <w:t>-</w:t>
            </w:r>
            <w:r>
              <w:rPr>
                <w:rFonts w:ascii="宋体" w:hAnsi="宋体" w:cstheme="minorBidi"/>
                <w:szCs w:val="21"/>
              </w:rPr>
              <w:t>7</w:t>
            </w:r>
            <w:r>
              <w:rPr>
                <w:rFonts w:hint="eastAsia" w:ascii="宋体" w:hAnsi="宋体" w:cstheme="minorBidi"/>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276" w:type="dxa"/>
            <w:vMerge w:val="continue"/>
            <w:tcBorders>
              <w:tl2br w:val="nil"/>
              <w:tr2bl w:val="nil"/>
            </w:tcBorders>
            <w:vAlign w:val="center"/>
          </w:tcPr>
          <w:p>
            <w:pPr>
              <w:widowControl/>
              <w:jc w:val="left"/>
              <w:rPr>
                <w:rFonts w:ascii="宋体" w:hAnsi="宋体" w:cstheme="minorBidi"/>
                <w:szCs w:val="21"/>
              </w:rPr>
            </w:pPr>
          </w:p>
        </w:tc>
        <w:tc>
          <w:tcPr>
            <w:tcW w:w="1816" w:type="dxa"/>
            <w:tcBorders>
              <w:tl2br w:val="nil"/>
              <w:tr2bl w:val="nil"/>
            </w:tcBorders>
            <w:shd w:val="clear" w:color="auto" w:fill="auto"/>
            <w:vAlign w:val="center"/>
          </w:tcPr>
          <w:p>
            <w:pPr>
              <w:widowControl/>
              <w:jc w:val="center"/>
              <w:rPr>
                <w:rFonts w:ascii="宋体" w:hAnsi="宋体" w:cstheme="minorBidi"/>
                <w:szCs w:val="21"/>
              </w:rPr>
            </w:pPr>
            <w:r>
              <w:rPr>
                <w:rFonts w:hint="eastAsia" w:ascii="宋体" w:hAnsi="宋体" w:cstheme="minorBidi"/>
                <w:szCs w:val="21"/>
              </w:rPr>
              <w:t>相关工作经验</w:t>
            </w:r>
            <w:r>
              <w:rPr>
                <w:rFonts w:hint="eastAsia" w:ascii="宋体" w:hAnsi="宋体" w:cstheme="minorBidi"/>
                <w:szCs w:val="21"/>
              </w:rPr>
              <w:br w:type="textWrapping"/>
            </w:r>
            <w:r>
              <w:rPr>
                <w:rFonts w:hint="eastAsia" w:ascii="宋体" w:hAnsi="宋体" w:cstheme="minorBidi"/>
                <w:szCs w:val="21"/>
              </w:rPr>
              <w:t>（</w:t>
            </w:r>
            <w:r>
              <w:rPr>
                <w:rFonts w:ascii="宋体" w:hAnsi="宋体" w:cstheme="minorBidi"/>
                <w:szCs w:val="21"/>
              </w:rPr>
              <w:t>10</w:t>
            </w:r>
            <w:r>
              <w:rPr>
                <w:rFonts w:hint="eastAsia" w:ascii="宋体" w:hAnsi="宋体" w:cstheme="minorBidi"/>
                <w:szCs w:val="21"/>
              </w:rPr>
              <w:t>分）</w:t>
            </w:r>
          </w:p>
        </w:tc>
        <w:tc>
          <w:tcPr>
            <w:tcW w:w="5168" w:type="dxa"/>
            <w:tcBorders>
              <w:tl2br w:val="nil"/>
              <w:tr2bl w:val="nil"/>
            </w:tcBorders>
            <w:shd w:val="clear" w:color="auto" w:fill="auto"/>
            <w:vAlign w:val="center"/>
          </w:tcPr>
          <w:p>
            <w:pPr>
              <w:widowControl/>
              <w:jc w:val="left"/>
              <w:rPr>
                <w:rFonts w:ascii="宋体" w:hAnsi="宋体" w:cstheme="minorBidi"/>
                <w:szCs w:val="21"/>
              </w:rPr>
            </w:pPr>
            <w:r>
              <w:rPr>
                <w:rFonts w:hint="eastAsia" w:ascii="宋体" w:hAnsi="宋体" w:cstheme="minorBidi"/>
                <w:szCs w:val="21"/>
              </w:rPr>
              <w:t>根据竞标单位培训服务的相关工作经验情况，分为优秀、符合、基本满足三个等级，分别酌情赋分，其中：</w:t>
            </w:r>
            <w:r>
              <w:rPr>
                <w:rFonts w:hint="eastAsia" w:ascii="宋体" w:hAnsi="宋体" w:cstheme="minorBidi"/>
                <w:szCs w:val="21"/>
              </w:rPr>
              <w:br w:type="textWrapping"/>
            </w:r>
            <w:r>
              <w:rPr>
                <w:rFonts w:hint="eastAsia" w:ascii="宋体" w:hAnsi="宋体" w:cstheme="minorBidi"/>
                <w:szCs w:val="21"/>
              </w:rPr>
              <w:t>优秀得</w:t>
            </w:r>
            <w:r>
              <w:rPr>
                <w:rFonts w:ascii="宋体" w:hAnsi="宋体" w:cstheme="minorBidi"/>
                <w:szCs w:val="21"/>
              </w:rPr>
              <w:t>9</w:t>
            </w:r>
            <w:r>
              <w:rPr>
                <w:rFonts w:hint="eastAsia" w:ascii="宋体" w:hAnsi="宋体" w:cstheme="minorBidi"/>
                <w:szCs w:val="21"/>
              </w:rPr>
              <w:t>-</w:t>
            </w:r>
            <w:r>
              <w:rPr>
                <w:rFonts w:ascii="宋体" w:hAnsi="宋体" w:cstheme="minorBidi"/>
                <w:szCs w:val="21"/>
              </w:rPr>
              <w:t>10</w:t>
            </w:r>
            <w:r>
              <w:rPr>
                <w:rFonts w:hint="eastAsia" w:ascii="宋体" w:hAnsi="宋体" w:cstheme="minorBidi"/>
                <w:szCs w:val="21"/>
              </w:rPr>
              <w:t>分；</w:t>
            </w:r>
            <w:r>
              <w:rPr>
                <w:rFonts w:hint="eastAsia" w:ascii="宋体" w:hAnsi="宋体" w:cstheme="minorBidi"/>
                <w:szCs w:val="21"/>
              </w:rPr>
              <w:br w:type="textWrapping"/>
            </w:r>
            <w:r>
              <w:rPr>
                <w:rFonts w:hint="eastAsia" w:ascii="宋体" w:hAnsi="宋体" w:cstheme="minorBidi"/>
                <w:szCs w:val="21"/>
              </w:rPr>
              <w:t>符合得5-8分；</w:t>
            </w:r>
            <w:r>
              <w:rPr>
                <w:rFonts w:hint="eastAsia" w:ascii="宋体" w:hAnsi="宋体" w:cstheme="minorBidi"/>
                <w:szCs w:val="21"/>
              </w:rPr>
              <w:br w:type="textWrapping"/>
            </w:r>
            <w:r>
              <w:rPr>
                <w:rFonts w:hint="eastAsia" w:ascii="宋体" w:hAnsi="宋体" w:cstheme="minorBidi"/>
                <w:szCs w:val="21"/>
              </w:rPr>
              <w:t>基本满足得2-4分。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276" w:type="dxa"/>
            <w:tcBorders>
              <w:tl2br w:val="nil"/>
              <w:tr2bl w:val="nil"/>
            </w:tcBorders>
            <w:shd w:val="clear" w:color="auto" w:fill="auto"/>
            <w:vAlign w:val="center"/>
          </w:tcPr>
          <w:p>
            <w:pPr>
              <w:widowControl/>
              <w:jc w:val="center"/>
              <w:rPr>
                <w:rFonts w:ascii="宋体" w:hAnsi="宋体" w:cstheme="minorBidi"/>
                <w:szCs w:val="21"/>
              </w:rPr>
            </w:pPr>
            <w:r>
              <w:rPr>
                <w:rFonts w:hint="eastAsia" w:ascii="宋体" w:hAnsi="宋体" w:cstheme="minorBidi"/>
                <w:szCs w:val="21"/>
              </w:rPr>
              <w:t>商务标</w:t>
            </w:r>
            <w:r>
              <w:rPr>
                <w:rFonts w:hint="eastAsia" w:ascii="宋体" w:hAnsi="宋体" w:cstheme="minorBidi"/>
                <w:szCs w:val="21"/>
              </w:rPr>
              <w:br w:type="textWrapping"/>
            </w:r>
            <w:r>
              <w:rPr>
                <w:rFonts w:hint="eastAsia" w:ascii="宋体" w:hAnsi="宋体" w:cstheme="minorBidi"/>
                <w:szCs w:val="21"/>
              </w:rPr>
              <w:t>（</w:t>
            </w:r>
            <w:r>
              <w:rPr>
                <w:rFonts w:hint="eastAsia" w:ascii="宋体" w:hAnsi="宋体" w:cstheme="minorBidi"/>
                <w:szCs w:val="21"/>
                <w:lang w:val="en-US" w:eastAsia="zh-CN"/>
              </w:rPr>
              <w:t>6</w:t>
            </w:r>
            <w:r>
              <w:rPr>
                <w:rFonts w:hint="eastAsia" w:ascii="宋体" w:hAnsi="宋体" w:cstheme="minorBidi"/>
                <w:szCs w:val="21"/>
              </w:rPr>
              <w:t>0分）</w:t>
            </w:r>
          </w:p>
        </w:tc>
        <w:tc>
          <w:tcPr>
            <w:tcW w:w="1816" w:type="dxa"/>
            <w:tcBorders>
              <w:tl2br w:val="nil"/>
              <w:tr2bl w:val="nil"/>
            </w:tcBorders>
            <w:shd w:val="clear" w:color="auto" w:fill="auto"/>
            <w:vAlign w:val="center"/>
          </w:tcPr>
          <w:p>
            <w:pPr>
              <w:widowControl/>
              <w:jc w:val="center"/>
              <w:rPr>
                <w:rFonts w:ascii="宋体" w:hAnsi="宋体" w:cstheme="minorBidi"/>
                <w:szCs w:val="21"/>
              </w:rPr>
            </w:pPr>
            <w:r>
              <w:rPr>
                <w:rFonts w:hint="eastAsia" w:ascii="宋体" w:hAnsi="宋体" w:cstheme="minorBidi"/>
                <w:szCs w:val="21"/>
              </w:rPr>
              <w:t>收费标准</w:t>
            </w:r>
            <w:r>
              <w:rPr>
                <w:rFonts w:hint="eastAsia" w:ascii="宋体" w:hAnsi="宋体" w:cstheme="minorBidi"/>
                <w:szCs w:val="21"/>
              </w:rPr>
              <w:br w:type="textWrapping"/>
            </w:r>
            <w:r>
              <w:rPr>
                <w:rFonts w:hint="eastAsia" w:ascii="宋体" w:hAnsi="宋体" w:cstheme="minorBidi"/>
                <w:szCs w:val="21"/>
              </w:rPr>
              <w:t>（</w:t>
            </w:r>
            <w:r>
              <w:rPr>
                <w:rFonts w:ascii="宋体" w:hAnsi="宋体" w:cstheme="minorBidi"/>
                <w:szCs w:val="21"/>
              </w:rPr>
              <w:t>6</w:t>
            </w:r>
            <w:r>
              <w:rPr>
                <w:rFonts w:hint="eastAsia" w:ascii="宋体" w:hAnsi="宋体" w:cstheme="minorBidi"/>
                <w:szCs w:val="21"/>
              </w:rPr>
              <w:t>0分）</w:t>
            </w:r>
          </w:p>
        </w:tc>
        <w:tc>
          <w:tcPr>
            <w:tcW w:w="5168" w:type="dxa"/>
            <w:tcBorders>
              <w:tl2br w:val="nil"/>
              <w:tr2bl w:val="nil"/>
            </w:tcBorders>
            <w:shd w:val="clear" w:color="auto" w:fill="auto"/>
            <w:vAlign w:val="center"/>
          </w:tcPr>
          <w:p>
            <w:pPr>
              <w:widowControl/>
              <w:jc w:val="left"/>
              <w:rPr>
                <w:rFonts w:ascii="宋体" w:hAnsi="宋体" w:cstheme="minorBidi"/>
                <w:szCs w:val="21"/>
              </w:rPr>
            </w:pPr>
            <w:r>
              <w:rPr>
                <w:rFonts w:hint="eastAsia" w:ascii="宋体" w:hAnsi="宋体" w:cstheme="minorBidi"/>
                <w:szCs w:val="21"/>
              </w:rPr>
              <w:t>基准价=所有有效投标价的算术平均值。有效的投标人报价与评标基准值相同者得</w:t>
            </w:r>
            <w:r>
              <w:rPr>
                <w:rFonts w:hint="eastAsia" w:ascii="宋体" w:hAnsi="宋体" w:cstheme="minorBidi"/>
                <w:szCs w:val="21"/>
                <w:lang w:val="en-US" w:eastAsia="zh-CN"/>
              </w:rPr>
              <w:t>40</w:t>
            </w:r>
            <w:r>
              <w:rPr>
                <w:rFonts w:hint="eastAsia" w:ascii="宋体" w:hAnsi="宋体" w:cstheme="minorBidi"/>
                <w:szCs w:val="21"/>
              </w:rPr>
              <w:t>分。比基准价每高1%在</w:t>
            </w:r>
            <w:r>
              <w:rPr>
                <w:rFonts w:hint="eastAsia" w:ascii="宋体" w:hAnsi="宋体" w:cstheme="minorBidi"/>
                <w:szCs w:val="21"/>
                <w:lang w:val="en-US" w:eastAsia="zh-CN"/>
              </w:rPr>
              <w:t>40</w:t>
            </w:r>
            <w:r>
              <w:rPr>
                <w:rFonts w:hint="eastAsia" w:ascii="宋体" w:hAnsi="宋体" w:cstheme="minorBidi"/>
                <w:szCs w:val="21"/>
              </w:rPr>
              <w:t>分基础上减</w:t>
            </w:r>
            <w:r>
              <w:rPr>
                <w:rFonts w:ascii="宋体" w:hAnsi="宋体" w:cstheme="minorBidi"/>
                <w:szCs w:val="21"/>
              </w:rPr>
              <w:t>2</w:t>
            </w:r>
            <w:r>
              <w:rPr>
                <w:rFonts w:hint="eastAsia" w:ascii="宋体" w:hAnsi="宋体" w:cstheme="minorBidi"/>
                <w:szCs w:val="21"/>
              </w:rPr>
              <w:t>分，减完为止；每低1%在</w:t>
            </w:r>
            <w:r>
              <w:rPr>
                <w:rFonts w:hint="eastAsia" w:ascii="宋体" w:hAnsi="宋体" w:cstheme="minorBidi"/>
                <w:szCs w:val="21"/>
                <w:lang w:val="en-US" w:eastAsia="zh-CN"/>
              </w:rPr>
              <w:t>40</w:t>
            </w:r>
            <w:r>
              <w:rPr>
                <w:rFonts w:hint="eastAsia" w:ascii="宋体" w:hAnsi="宋体" w:cstheme="minorBidi"/>
                <w:szCs w:val="21"/>
              </w:rPr>
              <w:t>分基础上加</w:t>
            </w:r>
            <w:r>
              <w:rPr>
                <w:rFonts w:ascii="宋体" w:hAnsi="宋体" w:cstheme="minorBidi"/>
                <w:szCs w:val="21"/>
              </w:rPr>
              <w:t>2</w:t>
            </w:r>
            <w:r>
              <w:rPr>
                <w:rFonts w:hint="eastAsia" w:ascii="宋体" w:hAnsi="宋体" w:cstheme="minorBidi"/>
                <w:szCs w:val="21"/>
              </w:rPr>
              <w:t>分，加满为止。</w:t>
            </w:r>
          </w:p>
        </w:tc>
      </w:tr>
    </w:tbl>
    <w:p>
      <w:pPr>
        <w:numPr>
          <w:ilvl w:val="0"/>
          <w:numId w:val="0"/>
        </w:numPr>
        <w:spacing w:line="360" w:lineRule="auto"/>
        <w:ind w:firstLine="420" w:firstLineChars="200"/>
        <w:rPr>
          <w:rFonts w:hint="eastAsia" w:ascii="宋体" w:hAnsi="宋体" w:cstheme="minorBidi"/>
          <w:szCs w:val="21"/>
        </w:rPr>
      </w:pPr>
      <w:r>
        <w:rPr>
          <w:rFonts w:hint="eastAsia" w:ascii="宋体" w:hAnsi="宋体" w:cstheme="minorBidi"/>
          <w:szCs w:val="21"/>
          <w:lang w:val="en-US" w:eastAsia="zh-CN"/>
        </w:rPr>
        <w:t>3.</w:t>
      </w:r>
      <w:r>
        <w:rPr>
          <w:rFonts w:hint="eastAsia" w:ascii="宋体" w:hAnsi="宋体" w:cstheme="minorBidi"/>
          <w:szCs w:val="21"/>
        </w:rPr>
        <w:t>投标文件未密封或资料不完整、投标人对招标文件的实质性要求未做出全面响应、有迹象表明投标人串通投标、中标后无正当理由在规定的时间不签订合同的、投标人提供的投标文件弄虚作假及其它违反法律、法规规定情形的，视为无效投标。</w:t>
      </w:r>
    </w:p>
    <w:p>
      <w:pPr>
        <w:pStyle w:val="8"/>
        <w:spacing w:line="360" w:lineRule="auto"/>
        <w:rPr>
          <w:rFonts w:ascii="黑体" w:eastAsia="黑体"/>
          <w:b/>
          <w:bCs/>
          <w:sz w:val="28"/>
          <w:szCs w:val="28"/>
        </w:rPr>
      </w:pPr>
      <w:r>
        <w:rPr>
          <w:rFonts w:hint="eastAsia" w:ascii="黑体" w:hAnsi="黑体" w:eastAsia="黑体"/>
          <w:b/>
          <w:bCs/>
          <w:sz w:val="28"/>
          <w:szCs w:val="28"/>
        </w:rPr>
        <w:t>七、废标及终止招标</w:t>
      </w:r>
    </w:p>
    <w:p>
      <w:pPr>
        <w:spacing w:line="520" w:lineRule="exact"/>
        <w:ind w:right="2" w:firstLine="420" w:firstLineChars="200"/>
        <w:rPr>
          <w:rFonts w:ascii="宋体" w:hAnsi="Courier New"/>
          <w:szCs w:val="21"/>
        </w:rPr>
      </w:pPr>
      <w:r>
        <w:rPr>
          <w:rFonts w:hint="eastAsia" w:ascii="宋体" w:hAnsi="宋体"/>
        </w:rPr>
        <w:t>1.投标人有下列情形之一的，将被视为废标，招标人将按照有关法律法规行使权力。投标人给招标人造成损失的，招标人有索赔的权力，投标人应给予赔偿。</w:t>
      </w:r>
    </w:p>
    <w:p>
      <w:pPr>
        <w:spacing w:line="520" w:lineRule="exact"/>
        <w:ind w:right="2" w:firstLine="420" w:firstLineChars="200"/>
        <w:rPr>
          <w:rFonts w:ascii="宋体" w:hAnsi="Courier New"/>
        </w:rPr>
      </w:pPr>
      <w:r>
        <w:rPr>
          <w:rFonts w:hint="eastAsia" w:ascii="宋体" w:hAnsi="宋体"/>
        </w:rPr>
        <w:t>（1）投标人提供的有关资格、资质证明文件不全、不真实；</w:t>
      </w:r>
    </w:p>
    <w:p>
      <w:pPr>
        <w:spacing w:line="520" w:lineRule="exact"/>
        <w:ind w:right="2" w:firstLine="420" w:firstLineChars="200"/>
        <w:rPr>
          <w:rFonts w:ascii="宋体" w:hAnsi="Courier New"/>
        </w:rPr>
      </w:pPr>
      <w:r>
        <w:rPr>
          <w:rFonts w:hint="eastAsia" w:ascii="宋体" w:hAnsi="宋体"/>
        </w:rPr>
        <w:t>（2）投标人在报价有效期内撤回投标；</w:t>
      </w:r>
    </w:p>
    <w:p>
      <w:pPr>
        <w:spacing w:line="520" w:lineRule="exact"/>
        <w:ind w:right="2" w:firstLine="420" w:firstLineChars="200"/>
        <w:rPr>
          <w:rFonts w:ascii="宋体" w:hAnsi="Courier New"/>
        </w:rPr>
      </w:pPr>
      <w:r>
        <w:rPr>
          <w:rFonts w:hint="eastAsia" w:ascii="宋体" w:hAnsi="宋体"/>
        </w:rPr>
        <w:t>（3）在评标过程中，投标人有企图影响评标结果公正性的任何项目；</w:t>
      </w:r>
    </w:p>
    <w:p>
      <w:pPr>
        <w:spacing w:line="520" w:lineRule="exact"/>
        <w:ind w:right="2" w:firstLine="420" w:firstLineChars="200"/>
        <w:rPr>
          <w:rFonts w:ascii="宋体" w:hAnsi="Courier New"/>
        </w:rPr>
      </w:pPr>
      <w:r>
        <w:rPr>
          <w:rFonts w:hint="eastAsia" w:ascii="宋体" w:hAnsi="宋体"/>
        </w:rPr>
        <w:t>（4）投标人以任何形式诋毁他人投标；</w:t>
      </w:r>
    </w:p>
    <w:p>
      <w:pPr>
        <w:spacing w:line="520" w:lineRule="exact"/>
        <w:ind w:right="2" w:firstLine="420" w:firstLineChars="200"/>
        <w:rPr>
          <w:rFonts w:ascii="宋体" w:hAnsi="Courier New"/>
        </w:rPr>
      </w:pPr>
      <w:r>
        <w:rPr>
          <w:rFonts w:hint="eastAsia" w:ascii="宋体" w:hAnsi="宋体"/>
        </w:rPr>
        <w:t>（5）以他人名义投标或以任何方式骗取中标；</w:t>
      </w:r>
    </w:p>
    <w:p>
      <w:pPr>
        <w:spacing w:line="520" w:lineRule="exact"/>
        <w:ind w:right="2" w:firstLine="420" w:firstLineChars="200"/>
        <w:rPr>
          <w:rFonts w:ascii="宋体" w:hAnsi="Courier New"/>
        </w:rPr>
      </w:pPr>
      <w:r>
        <w:rPr>
          <w:rFonts w:hint="eastAsia" w:ascii="宋体" w:hAnsi="宋体"/>
        </w:rPr>
        <w:t>（6）投标人对招标文件做出实质性变更；</w:t>
      </w:r>
    </w:p>
    <w:p>
      <w:pPr>
        <w:spacing w:line="520" w:lineRule="exact"/>
        <w:ind w:right="2" w:firstLine="420" w:firstLineChars="200"/>
        <w:rPr>
          <w:rFonts w:ascii="宋体" w:hAnsi="Courier New"/>
        </w:rPr>
      </w:pPr>
      <w:r>
        <w:rPr>
          <w:rFonts w:hint="eastAsia" w:ascii="宋体" w:hAnsi="宋体"/>
        </w:rPr>
        <w:t>（7）法律、法规规定的其他情况。</w:t>
      </w:r>
    </w:p>
    <w:p>
      <w:pPr>
        <w:spacing w:line="520" w:lineRule="exact"/>
        <w:ind w:right="2" w:firstLine="420" w:firstLineChars="200"/>
        <w:rPr>
          <w:rFonts w:ascii="宋体" w:hAnsi="Courier New"/>
        </w:rPr>
      </w:pPr>
      <w:r>
        <w:rPr>
          <w:rFonts w:hint="eastAsia" w:ascii="宋体" w:hAnsi="宋体"/>
        </w:rPr>
        <w:t>2.出现下列情形，招标人有权否决投标人的投标，并终止招标。</w:t>
      </w:r>
    </w:p>
    <w:p>
      <w:pPr>
        <w:spacing w:line="520" w:lineRule="exact"/>
        <w:ind w:right="2" w:firstLine="420" w:firstLineChars="200"/>
        <w:rPr>
          <w:rFonts w:ascii="宋体" w:hAnsi="Courier New"/>
        </w:rPr>
      </w:pPr>
      <w:r>
        <w:rPr>
          <w:rFonts w:hint="eastAsia" w:ascii="宋体" w:hAnsi="宋体"/>
        </w:rPr>
        <w:t>（1）出现影响评审公正性的违法、违规行为；</w:t>
      </w:r>
    </w:p>
    <w:p>
      <w:pPr>
        <w:spacing w:line="520" w:lineRule="exact"/>
        <w:ind w:right="2" w:firstLine="420" w:firstLineChars="200"/>
        <w:rPr>
          <w:rFonts w:ascii="宋体" w:hAnsi="Courier New"/>
        </w:rPr>
      </w:pPr>
      <w:r>
        <w:rPr>
          <w:rFonts w:hint="eastAsia" w:ascii="宋体" w:hAnsi="宋体"/>
        </w:rPr>
        <w:t>（2）因重大变故，本项目取消；</w:t>
      </w:r>
    </w:p>
    <w:p>
      <w:pPr>
        <w:spacing w:line="520" w:lineRule="exact"/>
        <w:ind w:right="2" w:firstLine="420" w:firstLineChars="200"/>
        <w:rPr>
          <w:rFonts w:ascii="宋体" w:hAnsi="Courier New"/>
        </w:rPr>
      </w:pPr>
      <w:r>
        <w:rPr>
          <w:rFonts w:hint="eastAsia" w:ascii="宋体" w:hAnsi="宋体"/>
        </w:rPr>
        <w:t>（</w:t>
      </w:r>
      <w:r>
        <w:rPr>
          <w:rFonts w:hint="eastAsia" w:ascii="宋体" w:hAnsi="Courier New"/>
        </w:rPr>
        <w:t>3</w:t>
      </w:r>
      <w:r>
        <w:rPr>
          <w:rFonts w:hint="eastAsia" w:ascii="宋体" w:hAnsi="宋体"/>
        </w:rPr>
        <w:t>）符合投标条件的投标方或者对招标文件做实质响应的投标方不足三家的；</w:t>
      </w:r>
    </w:p>
    <w:p>
      <w:pPr>
        <w:spacing w:line="520" w:lineRule="exact"/>
        <w:ind w:right="2" w:firstLine="420" w:firstLineChars="200"/>
        <w:rPr>
          <w:rFonts w:hAnsi="宋体"/>
        </w:rPr>
      </w:pPr>
      <w:r>
        <w:rPr>
          <w:rFonts w:hint="eastAsia" w:ascii="宋体" w:hAnsi="宋体"/>
        </w:rPr>
        <w:t>（</w:t>
      </w:r>
      <w:r>
        <w:rPr>
          <w:rFonts w:hint="eastAsia" w:ascii="宋体" w:hAnsi="Courier New"/>
        </w:rPr>
        <w:t>4</w:t>
      </w:r>
      <w:r>
        <w:rPr>
          <w:rFonts w:hint="eastAsia" w:ascii="宋体" w:hAnsi="宋体"/>
        </w:rPr>
        <w:t>）招标人认为其他应终止招标的情形。</w:t>
      </w:r>
    </w:p>
    <w:p>
      <w:pPr>
        <w:pStyle w:val="8"/>
        <w:spacing w:line="360" w:lineRule="auto"/>
        <w:rPr>
          <w:rFonts w:ascii="黑体" w:eastAsia="黑体"/>
          <w:b/>
          <w:bCs/>
          <w:sz w:val="28"/>
          <w:szCs w:val="28"/>
        </w:rPr>
      </w:pPr>
      <w:r>
        <w:rPr>
          <w:rFonts w:hint="eastAsia" w:ascii="黑体" w:hAnsi="黑体" w:eastAsia="黑体"/>
          <w:b/>
          <w:bCs/>
          <w:sz w:val="28"/>
          <w:szCs w:val="28"/>
        </w:rPr>
        <w:t>八、中标人瑕疵滞后发现的处理原则</w:t>
      </w:r>
    </w:p>
    <w:p>
      <w:pPr>
        <w:pStyle w:val="8"/>
        <w:spacing w:line="360" w:lineRule="auto"/>
        <w:ind w:firstLine="420" w:firstLineChars="200"/>
        <w:rPr>
          <w:szCs w:val="21"/>
        </w:rPr>
      </w:pPr>
      <w:r>
        <w:rPr>
          <w:rFonts w:hint="eastAsia" w:hAnsi="宋体"/>
        </w:rPr>
        <w:t>无论基于何种原因，各项本应作为拒绝处理的情形，即便未被及时发现或中标人隐瞒真实情况，而使该中标人通过了资格审核、初评、现场复审、终评或其他所有相关程序，包括已发布中标通知或已签订合同的情形，招标人均有权拒绝或取消中标人资格，一旦中标人被拒绝或该中标人此前的评议结果被取消，相关的一切损失均由该中标人承担。</w:t>
      </w:r>
    </w:p>
    <w:p>
      <w:pPr>
        <w:pStyle w:val="8"/>
        <w:numPr>
          <w:ilvl w:val="0"/>
          <w:numId w:val="1"/>
        </w:numPr>
        <w:spacing w:line="360" w:lineRule="auto"/>
        <w:rPr>
          <w:rFonts w:hint="eastAsia" w:ascii="黑体" w:eastAsia="黑体"/>
          <w:b/>
          <w:bCs/>
          <w:sz w:val="28"/>
        </w:rPr>
      </w:pPr>
      <w:r>
        <w:rPr>
          <w:rFonts w:hint="eastAsia" w:ascii="黑体" w:eastAsia="黑体"/>
          <w:b/>
          <w:bCs/>
          <w:sz w:val="28"/>
        </w:rPr>
        <w:t>本次招标最终解释权归中国重汽集团济南动力有限公司。</w:t>
      </w: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numPr>
          <w:ilvl w:val="0"/>
          <w:numId w:val="0"/>
        </w:numPr>
        <w:spacing w:line="360" w:lineRule="auto"/>
        <w:rPr>
          <w:rFonts w:hint="eastAsia" w:ascii="黑体" w:eastAsia="黑体"/>
          <w:b/>
          <w:bCs/>
          <w:sz w:val="28"/>
        </w:rPr>
      </w:pPr>
    </w:p>
    <w:p>
      <w:pPr>
        <w:pStyle w:val="8"/>
        <w:spacing w:line="360" w:lineRule="auto"/>
        <w:rPr>
          <w:rFonts w:ascii="黑体" w:eastAsia="黑体"/>
          <w:bCs/>
          <w:sz w:val="28"/>
        </w:rPr>
      </w:pPr>
      <w:r>
        <w:rPr>
          <w:rFonts w:hint="eastAsia" w:ascii="黑体" w:eastAsia="黑体"/>
          <w:bCs/>
          <w:sz w:val="28"/>
        </w:rPr>
        <w:t xml:space="preserve"> </w:t>
      </w:r>
      <w:r>
        <w:rPr>
          <w:rFonts w:ascii="黑体" w:eastAsia="黑体"/>
          <w:bCs/>
          <w:sz w:val="28"/>
        </w:rPr>
        <w:t xml:space="preserve">                               </w:t>
      </w:r>
      <w:r>
        <w:rPr>
          <w:rFonts w:hint="eastAsia" w:ascii="黑体" w:eastAsia="黑体"/>
          <w:bCs/>
          <w:sz w:val="28"/>
        </w:rPr>
        <w:t>中国重汽集团济南动力有限公司</w:t>
      </w:r>
    </w:p>
    <w:p>
      <w:pPr>
        <w:pStyle w:val="8"/>
        <w:spacing w:line="360" w:lineRule="auto"/>
        <w:rPr>
          <w:rFonts w:hint="eastAsia" w:ascii="黑体" w:eastAsia="黑体"/>
          <w:bCs/>
          <w:sz w:val="28"/>
        </w:rPr>
      </w:pPr>
      <w:r>
        <w:rPr>
          <w:rFonts w:hint="eastAsia" w:ascii="黑体" w:eastAsia="黑体"/>
          <w:bCs/>
          <w:sz w:val="28"/>
        </w:rPr>
        <w:t xml:space="preserve"> </w:t>
      </w:r>
      <w:r>
        <w:rPr>
          <w:rFonts w:ascii="黑体" w:eastAsia="黑体"/>
          <w:bCs/>
          <w:sz w:val="28"/>
        </w:rPr>
        <w:t xml:space="preserve">                                     </w:t>
      </w:r>
      <w:r>
        <w:rPr>
          <w:rFonts w:hint="eastAsia" w:ascii="黑体" w:eastAsia="黑体"/>
          <w:bCs/>
          <w:sz w:val="28"/>
        </w:rPr>
        <w:t xml:space="preserve">  </w:t>
      </w:r>
      <w:r>
        <w:rPr>
          <w:rFonts w:ascii="黑体" w:eastAsia="黑体"/>
          <w:bCs/>
          <w:sz w:val="28"/>
        </w:rPr>
        <w:t>202</w:t>
      </w:r>
      <w:r>
        <w:rPr>
          <w:rFonts w:hint="eastAsia" w:ascii="黑体" w:eastAsia="黑体"/>
          <w:bCs/>
          <w:sz w:val="28"/>
          <w:lang w:val="en-US" w:eastAsia="zh-CN"/>
        </w:rPr>
        <w:t>4</w:t>
      </w:r>
      <w:r>
        <w:rPr>
          <w:rFonts w:hint="eastAsia" w:ascii="黑体" w:eastAsia="黑体"/>
          <w:bCs/>
          <w:sz w:val="28"/>
        </w:rPr>
        <w:t>年</w:t>
      </w:r>
      <w:r>
        <w:rPr>
          <w:rFonts w:hint="eastAsia" w:ascii="黑体" w:eastAsia="黑体"/>
          <w:bCs/>
          <w:sz w:val="28"/>
          <w:lang w:val="en-US" w:eastAsia="zh-CN"/>
        </w:rPr>
        <w:t>4</w:t>
      </w:r>
      <w:r>
        <w:rPr>
          <w:rFonts w:hint="eastAsia" w:ascii="黑体" w:eastAsia="黑体"/>
          <w:bCs/>
          <w:sz w:val="28"/>
        </w:rPr>
        <w:t>月</w:t>
      </w:r>
    </w:p>
    <w:p>
      <w:pPr>
        <w:ind w:left="1125"/>
        <w:jc w:val="center"/>
        <w:rPr>
          <w:rFonts w:eastAsia="黑体"/>
          <w:b/>
          <w:bCs/>
          <w:sz w:val="28"/>
        </w:rPr>
      </w:pPr>
      <w:r>
        <w:rPr>
          <w:rFonts w:hint="eastAsia" w:eastAsia="黑体"/>
          <w:b/>
          <w:bCs/>
          <w:sz w:val="28"/>
        </w:rPr>
        <w:t>第二章附件（投标文件格式）</w:t>
      </w:r>
    </w:p>
    <w:p>
      <w:pPr>
        <w:rPr>
          <w:rFonts w:eastAsia="黑体"/>
          <w:b/>
          <w:bCs/>
          <w:sz w:val="28"/>
        </w:rPr>
      </w:pPr>
      <w:r>
        <w:rPr>
          <w:rFonts w:hint="eastAsia" w:eastAsia="黑体"/>
          <w:b/>
          <w:bCs/>
          <w:sz w:val="28"/>
        </w:rPr>
        <w:t>附件1</w:t>
      </w:r>
    </w:p>
    <w:p>
      <w:pPr>
        <w:jc w:val="center"/>
        <w:rPr>
          <w:rFonts w:eastAsia="黑体"/>
          <w:b/>
          <w:bCs/>
          <w:sz w:val="28"/>
        </w:rPr>
      </w:pPr>
      <w:r>
        <w:rPr>
          <w:rFonts w:hint="eastAsia" w:eastAsia="黑体"/>
          <w:b/>
          <w:bCs/>
          <w:sz w:val="28"/>
        </w:rPr>
        <w:t>投标书</w:t>
      </w:r>
    </w:p>
    <w:p>
      <w:pPr>
        <w:rPr>
          <w:rFonts w:ascii="宋体" w:hAnsi="宋体"/>
          <w:u w:val="single"/>
        </w:rPr>
      </w:pPr>
      <w:r>
        <w:rPr>
          <w:rFonts w:hint="eastAsia" w:ascii="宋体" w:hAnsi="宋体"/>
        </w:rPr>
        <w:t>致</w:t>
      </w:r>
      <w:r>
        <w:rPr>
          <w:rFonts w:hint="eastAsia" w:ascii="宋体" w:hAnsi="宋体"/>
          <w:u w:val="single"/>
        </w:rPr>
        <w:t>（招标人名称）                            ：</w:t>
      </w:r>
    </w:p>
    <w:p>
      <w:pPr>
        <w:ind w:firstLine="645"/>
        <w:rPr>
          <w:rFonts w:ascii="宋体" w:hAnsi="宋体"/>
        </w:rPr>
      </w:pPr>
      <w:r>
        <w:rPr>
          <w:rFonts w:hint="eastAsia" w:ascii="宋体" w:hAnsi="宋体"/>
        </w:rPr>
        <w:t>根据贵方为（</w:t>
      </w:r>
      <w:r>
        <w:rPr>
          <w:rFonts w:hint="eastAsia" w:ascii="宋体" w:hAnsi="宋体"/>
          <w:u w:val="single"/>
        </w:rPr>
        <w:t xml:space="preserve">项目名称）                         </w:t>
      </w:r>
      <w:r>
        <w:rPr>
          <w:rFonts w:hint="eastAsia" w:ascii="宋体" w:hAnsi="宋体"/>
        </w:rPr>
        <w:t>招标采购物品及服务的投标邀请，签字代表</w:t>
      </w:r>
      <w:r>
        <w:rPr>
          <w:rFonts w:hint="eastAsia" w:ascii="宋体" w:hAnsi="宋体"/>
          <w:u w:val="single"/>
        </w:rPr>
        <w:t xml:space="preserve">（全名、职务）           </w:t>
      </w:r>
      <w:r>
        <w:rPr>
          <w:rFonts w:hint="eastAsia" w:ascii="宋体" w:hAnsi="宋体"/>
        </w:rPr>
        <w:t>经正式授权并代表投标人</w:t>
      </w:r>
      <w:r>
        <w:rPr>
          <w:rFonts w:hint="eastAsia" w:ascii="宋体" w:hAnsi="宋体"/>
          <w:u w:val="single"/>
        </w:rPr>
        <w:t xml:space="preserve">（投标人名称、地址）              </w:t>
      </w:r>
      <w:r>
        <w:rPr>
          <w:rFonts w:hint="eastAsia" w:ascii="宋体" w:hAnsi="宋体"/>
        </w:rPr>
        <w:t>提交下述文件：</w:t>
      </w:r>
    </w:p>
    <w:p>
      <w:pPr>
        <w:rPr>
          <w:rFonts w:ascii="宋体" w:hAnsi="宋体"/>
        </w:rPr>
      </w:pPr>
      <w:r>
        <w:rPr>
          <w:rFonts w:hint="eastAsia" w:ascii="宋体" w:hAnsi="宋体"/>
        </w:rPr>
        <w:t>标书（正本</w:t>
      </w:r>
      <w:r>
        <w:rPr>
          <w:rFonts w:hint="eastAsia" w:ascii="宋体" w:hAnsi="宋体"/>
          <w:u w:val="single"/>
        </w:rPr>
        <w:t>1</w:t>
      </w:r>
      <w:r>
        <w:rPr>
          <w:rFonts w:hint="eastAsia" w:ascii="宋体" w:hAnsi="宋体"/>
        </w:rPr>
        <w:t>份和副本一式</w:t>
      </w:r>
      <w:r>
        <w:rPr>
          <w:rFonts w:hint="eastAsia" w:ascii="宋体" w:hAnsi="宋体"/>
          <w:u w:val="single"/>
        </w:rPr>
        <w:t>3</w:t>
      </w:r>
      <w:r>
        <w:rPr>
          <w:rFonts w:hint="eastAsia" w:ascii="宋体" w:hAnsi="宋体"/>
        </w:rPr>
        <w:t>份）</w:t>
      </w:r>
    </w:p>
    <w:p>
      <w:pPr>
        <w:rPr>
          <w:rFonts w:ascii="宋体" w:hAnsi="宋体"/>
        </w:rPr>
      </w:pPr>
      <w:r>
        <w:rPr>
          <w:rFonts w:hint="eastAsia" w:ascii="宋体" w:hAnsi="宋体"/>
        </w:rPr>
        <w:t>资质证明文件（1份）</w:t>
      </w:r>
    </w:p>
    <w:p>
      <w:pPr>
        <w:rPr>
          <w:rFonts w:ascii="宋体" w:hAnsi="宋体"/>
        </w:rPr>
      </w:pPr>
      <w:r>
        <w:rPr>
          <w:rFonts w:hint="eastAsia" w:ascii="宋体" w:hAnsi="宋体"/>
        </w:rPr>
        <w:t>据此，签字代表宣布同意如下：</w:t>
      </w:r>
    </w:p>
    <w:p>
      <w:pPr>
        <w:numPr>
          <w:ilvl w:val="0"/>
          <w:numId w:val="2"/>
        </w:numPr>
        <w:rPr>
          <w:rFonts w:ascii="宋体" w:hAnsi="宋体"/>
          <w:u w:val="single"/>
        </w:rPr>
      </w:pPr>
      <w:r>
        <w:rPr>
          <w:rFonts w:hint="eastAsia" w:ascii="宋体" w:hAnsi="宋体"/>
        </w:rPr>
        <w:t>所附投标报价表中规定的应提供和交付的物品投标总价为</w:t>
      </w:r>
      <w:r>
        <w:rPr>
          <w:rFonts w:hint="eastAsia" w:ascii="宋体" w:hAnsi="宋体"/>
          <w:u w:val="single"/>
        </w:rPr>
        <w:t>（注明币种和数量）    ，</w:t>
      </w:r>
    </w:p>
    <w:p>
      <w:pPr>
        <w:ind w:firstLine="840" w:firstLineChars="400"/>
        <w:rPr>
          <w:rFonts w:ascii="宋体" w:hAnsi="宋体"/>
        </w:rPr>
      </w:pPr>
      <w:r>
        <w:rPr>
          <w:rFonts w:hint="eastAsia" w:ascii="宋体" w:hAnsi="宋体"/>
          <w:u w:val="single"/>
        </w:rPr>
        <w:t xml:space="preserve">即（中文文字描述）                                      </w:t>
      </w:r>
      <w:r>
        <w:rPr>
          <w:rFonts w:hint="eastAsia" w:ascii="宋体" w:hAnsi="宋体"/>
        </w:rPr>
        <w:t>。</w:t>
      </w:r>
    </w:p>
    <w:p>
      <w:pPr>
        <w:numPr>
          <w:ilvl w:val="0"/>
          <w:numId w:val="2"/>
        </w:numPr>
        <w:rPr>
          <w:rFonts w:ascii="宋体" w:hAnsi="宋体"/>
        </w:rPr>
      </w:pPr>
      <w:r>
        <w:rPr>
          <w:rFonts w:hint="eastAsia" w:ascii="宋体" w:hAnsi="宋体"/>
        </w:rPr>
        <w:t>投标人将按招标文件的规定履行合同责任和义务。</w:t>
      </w:r>
    </w:p>
    <w:p>
      <w:pPr>
        <w:numPr>
          <w:ilvl w:val="0"/>
          <w:numId w:val="2"/>
        </w:numPr>
        <w:rPr>
          <w:rFonts w:ascii="宋体" w:hAnsi="宋体"/>
        </w:rPr>
      </w:pPr>
      <w:r>
        <w:rPr>
          <w:rFonts w:hint="eastAsia" w:ascii="宋体" w:hAnsi="宋体"/>
        </w:rPr>
        <w:t>投标人已详细审查全部招标文件，包括修改文件（如有的话）以及全部参考资料和有关附件，我们完全理解并同意放弃对这方面有不明及误解的权利。</w:t>
      </w:r>
    </w:p>
    <w:p>
      <w:pPr>
        <w:numPr>
          <w:ilvl w:val="0"/>
          <w:numId w:val="2"/>
        </w:numPr>
        <w:rPr>
          <w:rFonts w:ascii="宋体" w:hAnsi="宋体"/>
        </w:rPr>
      </w:pPr>
      <w:r>
        <w:rPr>
          <w:rFonts w:hint="eastAsia"/>
          <w:szCs w:val="21"/>
        </w:rPr>
        <w:t>投标有效期：自投标截止之日起30个日历日内有效</w:t>
      </w:r>
      <w:r>
        <w:rPr>
          <w:rFonts w:hint="eastAsia" w:ascii="宋体" w:hAnsi="宋体"/>
          <w:szCs w:val="21"/>
        </w:rPr>
        <w:t>。</w:t>
      </w:r>
    </w:p>
    <w:p>
      <w:pPr>
        <w:numPr>
          <w:ilvl w:val="0"/>
          <w:numId w:val="2"/>
        </w:numPr>
        <w:rPr>
          <w:rFonts w:ascii="宋体" w:hAnsi="宋体"/>
        </w:rPr>
      </w:pPr>
      <w:r>
        <w:rPr>
          <w:rFonts w:hint="eastAsia" w:ascii="宋体" w:hAnsi="宋体"/>
        </w:rPr>
        <w:t>投标人同意提供贵方要求的可能与投标有关的一切数据和资料，完全理解贵方不一定要接受最低价的投标或收到的任何投标。</w:t>
      </w:r>
    </w:p>
    <w:p>
      <w:pPr>
        <w:numPr>
          <w:ilvl w:val="0"/>
          <w:numId w:val="2"/>
        </w:numPr>
        <w:rPr>
          <w:rFonts w:ascii="宋体" w:hAnsi="宋体"/>
        </w:rPr>
      </w:pPr>
      <w:r>
        <w:rPr>
          <w:rFonts w:hint="eastAsia" w:ascii="宋体" w:hAnsi="宋体"/>
        </w:rPr>
        <w:t>与本投标有关的一切正式往来通讯请寄：</w:t>
      </w:r>
    </w:p>
    <w:p>
      <w:pPr>
        <w:ind w:left="795"/>
        <w:rPr>
          <w:rFonts w:ascii="宋体" w:hAnsi="宋体"/>
        </w:rPr>
      </w:pPr>
      <w:r>
        <w:rPr>
          <w:rFonts w:hint="eastAsia" w:ascii="宋体" w:hAnsi="宋体"/>
        </w:rPr>
        <w:t>地址：                                   邮编：</w:t>
      </w:r>
    </w:p>
    <w:p>
      <w:pPr>
        <w:ind w:left="795"/>
        <w:rPr>
          <w:rFonts w:ascii="宋体" w:hAnsi="宋体"/>
        </w:rPr>
      </w:pPr>
      <w:r>
        <w:rPr>
          <w:rFonts w:hint="eastAsia" w:ascii="宋体" w:hAnsi="宋体"/>
        </w:rPr>
        <w:t>电话：                                   传真：</w:t>
      </w:r>
    </w:p>
    <w:p>
      <w:pPr>
        <w:ind w:left="795"/>
      </w:pPr>
    </w:p>
    <w:p>
      <w:pPr>
        <w:ind w:left="795"/>
      </w:pPr>
    </w:p>
    <w:p>
      <w:pPr>
        <w:ind w:left="795"/>
      </w:pPr>
      <w:r>
        <w:rPr>
          <w:rFonts w:hint="eastAsia"/>
        </w:rPr>
        <w:t xml:space="preserve">投标人代表签字： </w:t>
      </w:r>
      <w:r>
        <w:t xml:space="preserve">                   </w:t>
      </w:r>
      <w:r>
        <w:rPr>
          <w:rFonts w:hint="eastAsia"/>
        </w:rPr>
        <w:t xml:space="preserve">职务： </w:t>
      </w:r>
      <w:r>
        <w:t xml:space="preserve">            </w:t>
      </w:r>
      <w:r>
        <w:rPr>
          <w:rFonts w:hint="eastAsia"/>
        </w:rPr>
        <w:t>日期：</w:t>
      </w:r>
    </w:p>
    <w:p>
      <w:pPr>
        <w:ind w:left="795"/>
      </w:pPr>
      <w:r>
        <w:rPr>
          <w:rFonts w:hint="eastAsia"/>
        </w:rPr>
        <w:t>投标人代表姓名、职务（印刷体）：</w:t>
      </w:r>
    </w:p>
    <w:p>
      <w:pPr>
        <w:ind w:left="795"/>
      </w:pPr>
      <w:r>
        <w:rPr>
          <w:rFonts w:hint="eastAsia"/>
        </w:rPr>
        <w:t>投标人名称（及公章）：</w:t>
      </w:r>
    </w:p>
    <w:p>
      <w:pPr>
        <w:ind w:left="795"/>
      </w:pPr>
      <w:r>
        <w:rPr>
          <w:rFonts w:hint="eastAsia"/>
        </w:rPr>
        <w:t xml:space="preserve">日期： </w:t>
      </w:r>
      <w:r>
        <w:t xml:space="preserve">    </w:t>
      </w:r>
      <w:r>
        <w:rPr>
          <w:rFonts w:hint="eastAsia"/>
        </w:rPr>
        <w:t xml:space="preserve">年 </w:t>
      </w:r>
      <w:r>
        <w:t xml:space="preserve">   </w:t>
      </w:r>
      <w:r>
        <w:rPr>
          <w:rFonts w:hint="eastAsia"/>
        </w:rPr>
        <w:t xml:space="preserve">月 </w:t>
      </w:r>
      <w:r>
        <w:t xml:space="preserve">   </w:t>
      </w:r>
      <w:r>
        <w:rPr>
          <w:rFonts w:hint="eastAsia"/>
        </w:rPr>
        <w:t>日</w:t>
      </w:r>
    </w:p>
    <w:p>
      <w:pPr>
        <w:rPr>
          <w:rFonts w:ascii="黑体" w:eastAsia="黑体"/>
          <w:sz w:val="30"/>
        </w:rPr>
      </w:pPr>
    </w:p>
    <w:p>
      <w:pPr>
        <w:rPr>
          <w:rFonts w:ascii="黑体" w:eastAsia="黑体"/>
          <w:sz w:val="30"/>
        </w:rPr>
      </w:pPr>
    </w:p>
    <w:p>
      <w:pPr>
        <w:rPr>
          <w:rFonts w:ascii="黑体" w:eastAsia="黑体"/>
          <w:sz w:val="30"/>
        </w:rPr>
      </w:pPr>
    </w:p>
    <w:p>
      <w:pPr>
        <w:rPr>
          <w:rFonts w:ascii="黑体" w:eastAsia="黑体"/>
          <w:sz w:val="30"/>
        </w:rPr>
      </w:pPr>
    </w:p>
    <w:p>
      <w:pPr>
        <w:rPr>
          <w:rFonts w:ascii="黑体" w:eastAsia="黑体"/>
          <w:sz w:val="30"/>
        </w:rPr>
      </w:pPr>
    </w:p>
    <w:p>
      <w:pPr>
        <w:rPr>
          <w:rFonts w:ascii="黑体" w:eastAsia="黑体"/>
          <w:sz w:val="30"/>
        </w:rPr>
      </w:pPr>
    </w:p>
    <w:p>
      <w:pPr>
        <w:rPr>
          <w:rFonts w:ascii="黑体" w:eastAsia="黑体"/>
          <w:sz w:val="30"/>
        </w:rPr>
      </w:pPr>
    </w:p>
    <w:p>
      <w:pPr>
        <w:rPr>
          <w:rFonts w:eastAsia="黑体"/>
          <w:b/>
          <w:bCs/>
          <w:sz w:val="28"/>
        </w:rPr>
      </w:pPr>
      <w:r>
        <w:rPr>
          <w:rFonts w:hint="eastAsia" w:eastAsia="黑体"/>
          <w:b/>
          <w:bCs/>
          <w:sz w:val="28"/>
        </w:rPr>
        <w:t>附件2</w:t>
      </w:r>
    </w:p>
    <w:p>
      <w:pPr>
        <w:rPr>
          <w:rFonts w:eastAsia="黑体"/>
          <w:b/>
          <w:bCs/>
          <w:sz w:val="28"/>
        </w:rPr>
      </w:pPr>
      <w:r>
        <w:rPr>
          <w:rFonts w:hint="eastAsia" w:eastAsia="黑体"/>
          <w:b/>
          <w:bCs/>
          <w:sz w:val="28"/>
        </w:rPr>
        <w:t>《开标一览表》单独封存，以备唱标使用</w:t>
      </w:r>
    </w:p>
    <w:p>
      <w:pPr>
        <w:jc w:val="center"/>
        <w:rPr>
          <w:rFonts w:ascii="黑体" w:eastAsia="黑体"/>
          <w:sz w:val="30"/>
        </w:rPr>
      </w:pPr>
      <w:r>
        <w:rPr>
          <w:rFonts w:hint="eastAsia" w:ascii="黑体" w:eastAsia="黑体"/>
          <w:sz w:val="30"/>
        </w:rPr>
        <w:t>开标一览表</w:t>
      </w:r>
    </w:p>
    <w:tbl>
      <w:tblPr>
        <w:tblStyle w:val="16"/>
        <w:tblW w:w="79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574"/>
        <w:gridCol w:w="1276"/>
        <w:gridCol w:w="1276"/>
        <w:gridCol w:w="1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r>
              <w:rPr>
                <w:rFonts w:hint="eastAsia" w:ascii="黑体" w:hAnsi="黑体" w:eastAsia="黑体" w:cs="宋体"/>
                <w:kern w:val="0"/>
                <w:sz w:val="24"/>
              </w:rPr>
              <w:t>序号</w:t>
            </w:r>
          </w:p>
        </w:tc>
        <w:tc>
          <w:tcPr>
            <w:tcW w:w="2574" w:type="dxa"/>
            <w:vAlign w:val="center"/>
          </w:tcPr>
          <w:p>
            <w:pPr>
              <w:jc w:val="center"/>
              <w:rPr>
                <w:rFonts w:ascii="黑体" w:hAnsi="黑体" w:eastAsia="黑体" w:cs="宋体"/>
                <w:kern w:val="0"/>
                <w:sz w:val="24"/>
              </w:rPr>
            </w:pPr>
            <w:r>
              <w:rPr>
                <w:rFonts w:hint="eastAsia" w:ascii="黑体" w:hAnsi="黑体" w:eastAsia="黑体" w:cs="宋体"/>
                <w:kern w:val="0"/>
                <w:sz w:val="24"/>
              </w:rPr>
              <w:t>物资或服务单价</w:t>
            </w:r>
          </w:p>
        </w:tc>
        <w:tc>
          <w:tcPr>
            <w:tcW w:w="1276" w:type="dxa"/>
            <w:vAlign w:val="center"/>
          </w:tcPr>
          <w:p>
            <w:pPr>
              <w:jc w:val="center"/>
              <w:rPr>
                <w:rFonts w:ascii="黑体" w:hAnsi="黑体" w:eastAsia="黑体" w:cs="宋体"/>
                <w:kern w:val="0"/>
                <w:sz w:val="24"/>
              </w:rPr>
            </w:pPr>
            <w:r>
              <w:rPr>
                <w:rFonts w:hint="eastAsia" w:ascii="黑体" w:hAnsi="黑体" w:eastAsia="黑体" w:cs="宋体"/>
                <w:kern w:val="0"/>
                <w:sz w:val="24"/>
              </w:rPr>
              <w:t>数量</w:t>
            </w:r>
          </w:p>
        </w:tc>
        <w:tc>
          <w:tcPr>
            <w:tcW w:w="1276" w:type="dxa"/>
            <w:vAlign w:val="center"/>
          </w:tcPr>
          <w:p>
            <w:pPr>
              <w:jc w:val="center"/>
              <w:rPr>
                <w:rFonts w:ascii="黑体" w:hAnsi="黑体" w:eastAsia="黑体" w:cs="宋体"/>
                <w:kern w:val="0"/>
                <w:sz w:val="24"/>
              </w:rPr>
            </w:pPr>
            <w:r>
              <w:rPr>
                <w:rFonts w:hint="eastAsia" w:ascii="黑体" w:hAnsi="黑体" w:eastAsia="黑体" w:cs="宋体"/>
                <w:kern w:val="0"/>
                <w:sz w:val="24"/>
              </w:rPr>
              <w:t>总价</w:t>
            </w:r>
          </w:p>
        </w:tc>
        <w:tc>
          <w:tcPr>
            <w:tcW w:w="1857" w:type="dxa"/>
            <w:vAlign w:val="center"/>
          </w:tcPr>
          <w:p>
            <w:pPr>
              <w:jc w:val="center"/>
              <w:rPr>
                <w:rFonts w:ascii="黑体" w:hAnsi="黑体" w:eastAsia="黑体" w:cs="宋体"/>
                <w:kern w:val="0"/>
                <w:sz w:val="24"/>
              </w:rPr>
            </w:pPr>
            <w:r>
              <w:rPr>
                <w:rFonts w:hint="eastAsia" w:ascii="黑体" w:hAnsi="黑体" w:eastAsia="黑体" w:cs="宋体"/>
                <w:kern w:val="0"/>
                <w:sz w:val="24"/>
              </w:rPr>
              <w:t>增值税发票类型及税率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黑体" w:hAnsi="黑体" w:eastAsia="黑体" w:cs="宋体"/>
                <w:kern w:val="0"/>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黑体" w:hAnsi="黑体" w:eastAsia="黑体" w:cs="宋体"/>
                <w:kern w:val="0"/>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88" w:type="dxa"/>
            <w:vAlign w:val="center"/>
          </w:tcPr>
          <w:p>
            <w:pPr>
              <w:jc w:val="center"/>
              <w:rPr>
                <w:rFonts w:ascii="宋体" w:hAnsi="宋体"/>
                <w:sz w:val="24"/>
              </w:rPr>
            </w:pPr>
          </w:p>
        </w:tc>
        <w:tc>
          <w:tcPr>
            <w:tcW w:w="2574"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276" w:type="dxa"/>
            <w:vAlign w:val="center"/>
          </w:tcPr>
          <w:p>
            <w:pPr>
              <w:jc w:val="center"/>
              <w:rPr>
                <w:rFonts w:ascii="宋体" w:hAnsi="宋体"/>
                <w:sz w:val="24"/>
              </w:rPr>
            </w:pPr>
          </w:p>
        </w:tc>
        <w:tc>
          <w:tcPr>
            <w:tcW w:w="1857"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562" w:type="dxa"/>
            <w:gridSpan w:val="2"/>
            <w:vAlign w:val="center"/>
          </w:tcPr>
          <w:p>
            <w:pPr>
              <w:jc w:val="center"/>
              <w:rPr>
                <w:rFonts w:ascii="宋体" w:hAnsi="宋体"/>
                <w:sz w:val="24"/>
              </w:rPr>
            </w:pPr>
            <w:r>
              <w:rPr>
                <w:rFonts w:hint="eastAsia" w:ascii="宋体" w:hAnsi="宋体"/>
                <w:sz w:val="24"/>
              </w:rPr>
              <w:t>总报价（含税）</w:t>
            </w:r>
          </w:p>
        </w:tc>
        <w:tc>
          <w:tcPr>
            <w:tcW w:w="4409" w:type="dxa"/>
            <w:gridSpan w:val="3"/>
            <w:vAlign w:val="center"/>
          </w:tcPr>
          <w:p>
            <w:pPr>
              <w:jc w:val="center"/>
              <w:rPr>
                <w:rFonts w:ascii="宋体" w:hAnsi="宋体"/>
                <w:sz w:val="24"/>
              </w:rPr>
            </w:pPr>
          </w:p>
        </w:tc>
      </w:tr>
    </w:tbl>
    <w:p>
      <w:pPr>
        <w:rPr>
          <w:rFonts w:ascii="宋体" w:hAnsi="宋体"/>
          <w:b/>
          <w:sz w:val="24"/>
        </w:rPr>
      </w:pPr>
    </w:p>
    <w:p>
      <w:pP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 xml:space="preserve">投标人名称：               授权代表签字：    </w:t>
      </w:r>
      <w:r>
        <w:rPr>
          <w:rFonts w:ascii="宋体" w:hAnsi="宋体"/>
          <w:sz w:val="24"/>
        </w:rPr>
        <w:t xml:space="preserve">  </w:t>
      </w:r>
      <w:r>
        <w:rPr>
          <w:rFonts w:hint="eastAsia" w:ascii="宋体" w:hAnsi="宋体"/>
          <w:sz w:val="24"/>
        </w:rPr>
        <w:t xml:space="preserve">     日期：</w:t>
      </w:r>
    </w:p>
    <w:p>
      <w:pPr>
        <w:rPr>
          <w:rFonts w:ascii="宋体" w:hAnsi="宋体"/>
          <w:b/>
          <w:sz w:val="24"/>
        </w:rPr>
      </w:pPr>
    </w:p>
    <w:p>
      <w:pPr>
        <w:rPr>
          <w:rFonts w:ascii="宋体" w:hAnsi="宋体"/>
          <w:sz w:val="24"/>
        </w:rPr>
      </w:pPr>
      <w:r>
        <w:rPr>
          <w:rFonts w:hint="eastAsia" w:ascii="宋体" w:hAnsi="宋体"/>
          <w:b/>
          <w:sz w:val="24"/>
        </w:rPr>
        <w:t>注：</w:t>
      </w:r>
      <w:r>
        <w:rPr>
          <w:rFonts w:hint="eastAsia" w:ascii="宋体" w:hAnsi="宋体"/>
          <w:sz w:val="24"/>
        </w:rPr>
        <w:t xml:space="preserve"> 1</w:t>
      </w:r>
      <w:r>
        <w:rPr>
          <w:rFonts w:ascii="宋体" w:hAnsi="宋体"/>
          <w:sz w:val="24"/>
        </w:rPr>
        <w:t>.</w:t>
      </w:r>
      <w:r>
        <w:rPr>
          <w:rFonts w:hint="eastAsia" w:ascii="宋体" w:hAnsi="宋体"/>
          <w:sz w:val="24"/>
        </w:rPr>
        <w:t>请按照《技术协议书》中技术参数内容填写报价，可增项、不可缺项。</w:t>
      </w:r>
    </w:p>
    <w:p>
      <w:pPr>
        <w:ind w:firstLine="600" w:firstLineChars="250"/>
        <w:rPr>
          <w:rFonts w:ascii="宋体" w:hAnsi="宋体"/>
          <w:sz w:val="24"/>
        </w:rPr>
      </w:pPr>
      <w:r>
        <w:rPr>
          <w:rFonts w:hint="eastAsia" w:ascii="宋体" w:hAnsi="宋体"/>
          <w:sz w:val="24"/>
        </w:rPr>
        <w:t>2.投标总价为各投标物品的合计单项价之和。</w:t>
      </w:r>
    </w:p>
    <w:p>
      <w:pPr>
        <w:ind w:firstLine="600" w:firstLineChars="250"/>
        <w:rPr>
          <w:rFonts w:ascii="宋体" w:hAnsi="宋体"/>
          <w:sz w:val="24"/>
        </w:rPr>
      </w:pPr>
      <w:r>
        <w:rPr>
          <w:rFonts w:hint="eastAsia" w:ascii="宋体" w:hAnsi="宋体"/>
          <w:sz w:val="24"/>
        </w:rPr>
        <w:t>3.本表用于开标宣读用，请单独封存。</w:t>
      </w:r>
    </w:p>
    <w:p>
      <w:pPr>
        <w:ind w:firstLine="480"/>
        <w:rPr>
          <w:rFonts w:ascii="宋体" w:hAnsi="宋体"/>
          <w:b/>
          <w:sz w:val="24"/>
        </w:rPr>
      </w:pPr>
    </w:p>
    <w:p>
      <w:pPr>
        <w:ind w:firstLine="480"/>
        <w:rPr>
          <w:rFonts w:ascii="宋体" w:hAnsi="宋体"/>
          <w:b/>
          <w:sz w:val="24"/>
        </w:rPr>
      </w:pPr>
    </w:p>
    <w:p>
      <w:pPr>
        <w:ind w:firstLine="480"/>
        <w:rPr>
          <w:rFonts w:ascii="宋体" w:hAnsi="宋体"/>
          <w:b/>
          <w:sz w:val="24"/>
        </w:rPr>
      </w:pPr>
    </w:p>
    <w:p>
      <w:pPr>
        <w:ind w:firstLine="480"/>
        <w:rPr>
          <w:rFonts w:ascii="宋体" w:hAnsi="宋体"/>
          <w:b/>
          <w:sz w:val="24"/>
        </w:rPr>
      </w:pPr>
    </w:p>
    <w:p>
      <w:pPr>
        <w:rPr>
          <w:rFonts w:eastAsia="黑体"/>
          <w:b/>
          <w:bCs/>
          <w:sz w:val="28"/>
        </w:rPr>
      </w:pPr>
      <w:r>
        <w:rPr>
          <w:rFonts w:hint="eastAsia" w:eastAsia="黑体"/>
          <w:b/>
          <w:bCs/>
          <w:sz w:val="28"/>
        </w:rPr>
        <w:t>附件3</w:t>
      </w:r>
    </w:p>
    <w:p>
      <w:pPr>
        <w:jc w:val="center"/>
        <w:rPr>
          <w:rFonts w:eastAsia="黑体"/>
          <w:b/>
          <w:bCs/>
          <w:sz w:val="28"/>
        </w:rPr>
      </w:pPr>
      <w:r>
        <w:rPr>
          <w:rFonts w:hint="eastAsia" w:eastAsia="黑体"/>
          <w:b/>
          <w:bCs/>
          <w:sz w:val="28"/>
        </w:rPr>
        <w:t>偏离表</w:t>
      </w:r>
    </w:p>
    <w:tbl>
      <w:tblPr>
        <w:tblStyle w:val="16"/>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551"/>
        <w:gridCol w:w="2552"/>
        <w:gridCol w:w="2725"/>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序号</w:t>
            </w:r>
          </w:p>
        </w:tc>
        <w:tc>
          <w:tcPr>
            <w:tcW w:w="2551" w:type="dxa"/>
            <w:vAlign w:val="center"/>
          </w:tcPr>
          <w:p>
            <w:pPr>
              <w:jc w:val="center"/>
              <w:rPr>
                <w:rFonts w:ascii="宋体" w:hAnsi="宋体"/>
                <w:sz w:val="24"/>
              </w:rPr>
            </w:pPr>
            <w:r>
              <w:rPr>
                <w:rFonts w:hint="eastAsia" w:ascii="宋体" w:hAnsi="宋体"/>
                <w:sz w:val="24"/>
              </w:rPr>
              <w:t>招标文件条款</w:t>
            </w:r>
          </w:p>
        </w:tc>
        <w:tc>
          <w:tcPr>
            <w:tcW w:w="2552" w:type="dxa"/>
            <w:vAlign w:val="center"/>
          </w:tcPr>
          <w:p>
            <w:pPr>
              <w:jc w:val="center"/>
              <w:rPr>
                <w:rFonts w:ascii="宋体" w:hAnsi="宋体"/>
                <w:sz w:val="24"/>
              </w:rPr>
            </w:pPr>
            <w:r>
              <w:rPr>
                <w:rFonts w:hint="eastAsia" w:ascii="宋体" w:hAnsi="宋体"/>
                <w:sz w:val="24"/>
              </w:rPr>
              <w:t>投标书条款</w:t>
            </w:r>
          </w:p>
        </w:tc>
        <w:tc>
          <w:tcPr>
            <w:tcW w:w="2725" w:type="dxa"/>
            <w:vAlign w:val="center"/>
          </w:tcPr>
          <w:p>
            <w:pPr>
              <w:jc w:val="center"/>
              <w:rPr>
                <w:rFonts w:ascii="宋体" w:hAnsi="宋体"/>
                <w:sz w:val="24"/>
              </w:rPr>
            </w:pPr>
            <w:r>
              <w:rPr>
                <w:rFonts w:hint="eastAsia" w:ascii="宋体" w:hAnsi="宋体"/>
                <w:sz w:val="24"/>
              </w:rPr>
              <w:t>偏离及影响</w:t>
            </w:r>
          </w:p>
        </w:tc>
        <w:tc>
          <w:tcPr>
            <w:tcW w:w="819" w:type="dxa"/>
            <w:vAlign w:val="center"/>
          </w:tcPr>
          <w:p>
            <w:pPr>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1</w:t>
            </w:r>
          </w:p>
        </w:tc>
        <w:tc>
          <w:tcPr>
            <w:tcW w:w="2551" w:type="dxa"/>
            <w:vAlign w:val="center"/>
          </w:tcPr>
          <w:p>
            <w:pPr>
              <w:jc w:val="center"/>
              <w:rPr>
                <w:rFonts w:ascii="宋体" w:hAnsi="宋体"/>
                <w:sz w:val="24"/>
              </w:rPr>
            </w:pPr>
            <w:r>
              <w:rPr>
                <w:rFonts w:hint="eastAsia" w:ascii="宋体" w:hAnsi="宋体"/>
                <w:sz w:val="24"/>
              </w:rPr>
              <w:t>所有条款</w:t>
            </w:r>
          </w:p>
        </w:tc>
        <w:tc>
          <w:tcPr>
            <w:tcW w:w="2552" w:type="dxa"/>
            <w:vAlign w:val="center"/>
          </w:tcPr>
          <w:p>
            <w:pPr>
              <w:jc w:val="center"/>
              <w:rPr>
                <w:rFonts w:ascii="宋体" w:hAnsi="宋体"/>
                <w:sz w:val="24"/>
              </w:rPr>
            </w:pPr>
            <w:r>
              <w:rPr>
                <w:rFonts w:hint="eastAsia" w:ascii="宋体" w:hAnsi="宋体"/>
                <w:sz w:val="24"/>
              </w:rPr>
              <w:t>全部相应</w:t>
            </w:r>
          </w:p>
        </w:tc>
        <w:tc>
          <w:tcPr>
            <w:tcW w:w="2725" w:type="dxa"/>
            <w:vAlign w:val="center"/>
          </w:tcPr>
          <w:p>
            <w:pPr>
              <w:jc w:val="center"/>
              <w:rPr>
                <w:rFonts w:ascii="宋体" w:hAnsi="宋体"/>
                <w:sz w:val="24"/>
              </w:rPr>
            </w:pPr>
            <w:r>
              <w:rPr>
                <w:rFonts w:hint="eastAsia" w:ascii="宋体" w:hAnsi="宋体"/>
                <w:sz w:val="24"/>
              </w:rPr>
              <w:t>无偏离</w:t>
            </w:r>
          </w:p>
        </w:tc>
        <w:tc>
          <w:tcPr>
            <w:tcW w:w="819" w:type="dxa"/>
            <w:vAlign w:val="center"/>
          </w:tcPr>
          <w:p>
            <w:pPr>
              <w:jc w:val="center"/>
              <w:rPr>
                <w:rFonts w:ascii="宋体" w:hAnsi="宋体"/>
                <w:sz w:val="24"/>
              </w:rPr>
            </w:pPr>
            <w:r>
              <w:rPr>
                <w:rFonts w:hint="eastAsia" w:ascii="宋体" w:hAnsi="宋体"/>
                <w:sz w:val="24"/>
              </w:rPr>
              <w:t>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2</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3</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4</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5</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6</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7</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8</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9</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10</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11</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12</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9" w:type="dxa"/>
            <w:vAlign w:val="center"/>
          </w:tcPr>
          <w:p>
            <w:pPr>
              <w:jc w:val="center"/>
              <w:rPr>
                <w:rFonts w:ascii="宋体" w:hAnsi="宋体"/>
                <w:sz w:val="24"/>
              </w:rPr>
            </w:pPr>
            <w:r>
              <w:rPr>
                <w:rFonts w:hint="eastAsia" w:ascii="宋体" w:hAnsi="宋体"/>
                <w:sz w:val="24"/>
              </w:rPr>
              <w:t>13</w:t>
            </w:r>
          </w:p>
        </w:tc>
        <w:tc>
          <w:tcPr>
            <w:tcW w:w="2551" w:type="dxa"/>
            <w:vAlign w:val="center"/>
          </w:tcPr>
          <w:p>
            <w:pPr>
              <w:jc w:val="center"/>
              <w:rPr>
                <w:rFonts w:ascii="宋体" w:hAnsi="宋体"/>
                <w:sz w:val="24"/>
              </w:rPr>
            </w:pPr>
          </w:p>
        </w:tc>
        <w:tc>
          <w:tcPr>
            <w:tcW w:w="2552" w:type="dxa"/>
            <w:vAlign w:val="center"/>
          </w:tcPr>
          <w:p>
            <w:pPr>
              <w:jc w:val="center"/>
              <w:rPr>
                <w:rFonts w:ascii="宋体" w:hAnsi="宋体"/>
                <w:sz w:val="24"/>
              </w:rPr>
            </w:pPr>
          </w:p>
        </w:tc>
        <w:tc>
          <w:tcPr>
            <w:tcW w:w="2725" w:type="dxa"/>
            <w:vAlign w:val="center"/>
          </w:tcPr>
          <w:p>
            <w:pPr>
              <w:jc w:val="center"/>
              <w:rPr>
                <w:rFonts w:ascii="宋体" w:hAnsi="宋体"/>
                <w:sz w:val="24"/>
              </w:rPr>
            </w:pPr>
          </w:p>
        </w:tc>
        <w:tc>
          <w:tcPr>
            <w:tcW w:w="819" w:type="dxa"/>
            <w:vAlign w:val="center"/>
          </w:tcPr>
          <w:p>
            <w:pPr>
              <w:jc w:val="center"/>
              <w:rPr>
                <w:rFonts w:ascii="宋体" w:hAnsi="宋体"/>
                <w:sz w:val="24"/>
              </w:rPr>
            </w:pPr>
          </w:p>
        </w:tc>
      </w:tr>
    </w:tbl>
    <w:p>
      <w:pPr>
        <w:rPr>
          <w:rFonts w:ascii="宋体" w:hAnsi="宋体"/>
          <w:b/>
          <w:sz w:val="24"/>
        </w:rPr>
      </w:pPr>
    </w:p>
    <w:p>
      <w:pPr>
        <w:rPr>
          <w:rFonts w:ascii="宋体" w:hAnsi="宋体"/>
          <w:sz w:val="24"/>
        </w:rPr>
      </w:pPr>
      <w:r>
        <w:rPr>
          <w:rFonts w:hint="eastAsia" w:ascii="宋体" w:hAnsi="宋体"/>
          <w:b/>
          <w:sz w:val="24"/>
        </w:rPr>
        <w:t>注：</w:t>
      </w:r>
      <w:r>
        <w:rPr>
          <w:rFonts w:hint="eastAsia" w:ascii="宋体" w:hAnsi="宋体"/>
          <w:sz w:val="24"/>
        </w:rPr>
        <w:t>即使投标人进行了描述，也要提报该表，</w:t>
      </w:r>
      <w:r>
        <w:rPr>
          <w:rFonts w:hint="eastAsia" w:ascii="宋体" w:hAnsi="宋体"/>
          <w:b/>
          <w:sz w:val="24"/>
        </w:rPr>
        <w:t>无该表则被视为“无偏离”。该表请删除“示例”行后提报。</w:t>
      </w:r>
    </w:p>
    <w:p>
      <w:pPr>
        <w:pStyle w:val="8"/>
        <w:spacing w:line="360" w:lineRule="auto"/>
        <w:rPr>
          <w:rFonts w:hAnsi="宋体"/>
          <w:b/>
          <w:bCs/>
          <w:sz w:val="28"/>
          <w:szCs w:val="28"/>
        </w:rPr>
      </w:pPr>
    </w:p>
    <w:p>
      <w:pPr>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rPr>
        <w:t>投标人名称：                   授权代表签字：            日期：</w:t>
      </w:r>
    </w:p>
    <w:p>
      <w:pPr>
        <w:pStyle w:val="8"/>
        <w:spacing w:line="360" w:lineRule="auto"/>
        <w:rPr>
          <w:rFonts w:hAnsi="宋体"/>
          <w:b/>
          <w:bCs/>
          <w:sz w:val="28"/>
          <w:szCs w:val="28"/>
        </w:rPr>
      </w:pPr>
    </w:p>
    <w:p>
      <w:pPr>
        <w:pStyle w:val="8"/>
        <w:spacing w:line="360" w:lineRule="auto"/>
        <w:rPr>
          <w:rFonts w:eastAsia="黑体"/>
          <w:b/>
          <w:bCs/>
          <w:sz w:val="28"/>
        </w:rPr>
      </w:pPr>
      <w:r>
        <w:rPr>
          <w:rFonts w:hint="eastAsia" w:eastAsia="黑体"/>
          <w:b/>
          <w:bCs/>
          <w:sz w:val="28"/>
        </w:rPr>
        <w:t>附件4</w:t>
      </w:r>
    </w:p>
    <w:p>
      <w:pPr>
        <w:jc w:val="center"/>
        <w:rPr>
          <w:rFonts w:eastAsia="黑体"/>
          <w:b/>
          <w:bCs/>
          <w:sz w:val="28"/>
        </w:rPr>
      </w:pPr>
      <w:r>
        <w:rPr>
          <w:rFonts w:hint="eastAsia" w:eastAsia="黑体"/>
          <w:b/>
          <w:bCs/>
          <w:sz w:val="28"/>
        </w:rPr>
        <w:t>投标报名表</w:t>
      </w:r>
    </w:p>
    <w:p>
      <w:pPr>
        <w:ind w:firstLine="120" w:firstLineChars="50"/>
        <w:rPr>
          <w:sz w:val="24"/>
        </w:rPr>
      </w:pPr>
      <w:r>
        <w:rPr>
          <w:rFonts w:hint="eastAsia"/>
          <w:sz w:val="24"/>
        </w:rPr>
        <w:t>公章：</w:t>
      </w:r>
    </w:p>
    <w:tbl>
      <w:tblPr>
        <w:tblStyle w:val="16"/>
        <w:tblW w:w="8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2526"/>
        <w:gridCol w:w="2272"/>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1801" w:type="dxa"/>
            <w:vAlign w:val="center"/>
          </w:tcPr>
          <w:p>
            <w:pPr>
              <w:jc w:val="center"/>
              <w:rPr>
                <w:sz w:val="24"/>
                <w:szCs w:val="24"/>
              </w:rPr>
            </w:pPr>
            <w:r>
              <w:rPr>
                <w:rFonts w:hint="eastAsia"/>
                <w:sz w:val="24"/>
                <w:szCs w:val="24"/>
              </w:rPr>
              <w:t>项目名称</w:t>
            </w:r>
          </w:p>
        </w:tc>
        <w:tc>
          <w:tcPr>
            <w:tcW w:w="7123" w:type="dxa"/>
            <w:gridSpan w:val="3"/>
            <w:vAlign w:val="center"/>
          </w:tcPr>
          <w:p>
            <w:pPr>
              <w:spacing w:line="360" w:lineRule="auto"/>
              <w:jc w:val="both"/>
              <w:rPr>
                <w:rFonts w:ascii="宋体" w:hAnsi="Courier New"/>
              </w:rPr>
            </w:pPr>
            <w:r>
              <w:rPr>
                <w:rFonts w:hint="eastAsia"/>
              </w:rPr>
              <w:t>新《公司法》实施下国有企业公司治理及</w:t>
            </w:r>
            <w:r>
              <w:rPr>
                <w:rFonts w:hint="eastAsia"/>
                <w:lang w:val="en-US" w:eastAsia="zh-CN"/>
              </w:rPr>
              <w:t>董监高</w:t>
            </w:r>
            <w:r>
              <w:rPr>
                <w:rFonts w:hint="eastAsia"/>
              </w:rPr>
              <w:t>职责重塑与挑战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jc w:val="center"/>
        </w:trPr>
        <w:tc>
          <w:tcPr>
            <w:tcW w:w="1801" w:type="dxa"/>
            <w:vAlign w:val="center"/>
          </w:tcPr>
          <w:p>
            <w:pPr>
              <w:jc w:val="center"/>
              <w:rPr>
                <w:sz w:val="24"/>
                <w:szCs w:val="24"/>
              </w:rPr>
            </w:pPr>
            <w:r>
              <w:rPr>
                <w:rFonts w:hint="eastAsia"/>
                <w:sz w:val="24"/>
                <w:szCs w:val="24"/>
              </w:rPr>
              <w:t>投标单位</w:t>
            </w:r>
          </w:p>
          <w:p>
            <w:pPr>
              <w:jc w:val="center"/>
              <w:rPr>
                <w:sz w:val="24"/>
                <w:szCs w:val="24"/>
              </w:rPr>
            </w:pPr>
            <w:r>
              <w:rPr>
                <w:rFonts w:hint="eastAsia"/>
                <w:sz w:val="24"/>
                <w:szCs w:val="24"/>
              </w:rPr>
              <w:t>（全称）</w:t>
            </w:r>
          </w:p>
        </w:tc>
        <w:tc>
          <w:tcPr>
            <w:tcW w:w="7123"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801" w:type="dxa"/>
            <w:vAlign w:val="center"/>
          </w:tcPr>
          <w:p>
            <w:pPr>
              <w:jc w:val="center"/>
              <w:rPr>
                <w:sz w:val="24"/>
                <w:szCs w:val="24"/>
              </w:rPr>
            </w:pPr>
            <w:r>
              <w:rPr>
                <w:rFonts w:hint="eastAsia"/>
                <w:sz w:val="24"/>
                <w:szCs w:val="24"/>
              </w:rPr>
              <w:t>投标单位</w:t>
            </w:r>
          </w:p>
          <w:p>
            <w:pPr>
              <w:jc w:val="center"/>
              <w:rPr>
                <w:sz w:val="24"/>
                <w:szCs w:val="24"/>
              </w:rPr>
            </w:pPr>
            <w:r>
              <w:rPr>
                <w:rFonts w:hint="eastAsia"/>
                <w:sz w:val="24"/>
                <w:szCs w:val="24"/>
              </w:rPr>
              <w:t>简介</w:t>
            </w:r>
          </w:p>
        </w:tc>
        <w:tc>
          <w:tcPr>
            <w:tcW w:w="7123"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1801" w:type="dxa"/>
            <w:vAlign w:val="center"/>
          </w:tcPr>
          <w:p>
            <w:pPr>
              <w:jc w:val="center"/>
              <w:rPr>
                <w:sz w:val="24"/>
                <w:szCs w:val="24"/>
              </w:rPr>
            </w:pPr>
            <w:r>
              <w:rPr>
                <w:rFonts w:hint="eastAsia"/>
                <w:sz w:val="24"/>
                <w:szCs w:val="24"/>
              </w:rPr>
              <w:t>项目负责人</w:t>
            </w:r>
          </w:p>
        </w:tc>
        <w:tc>
          <w:tcPr>
            <w:tcW w:w="2526" w:type="dxa"/>
            <w:vAlign w:val="center"/>
          </w:tcPr>
          <w:p>
            <w:pPr>
              <w:jc w:val="center"/>
              <w:rPr>
                <w:sz w:val="24"/>
                <w:szCs w:val="24"/>
              </w:rPr>
            </w:pPr>
          </w:p>
        </w:tc>
        <w:tc>
          <w:tcPr>
            <w:tcW w:w="2272" w:type="dxa"/>
            <w:vAlign w:val="center"/>
          </w:tcPr>
          <w:p>
            <w:pPr>
              <w:jc w:val="center"/>
              <w:rPr>
                <w:sz w:val="24"/>
                <w:szCs w:val="24"/>
              </w:rPr>
            </w:pPr>
            <w:r>
              <w:rPr>
                <w:rFonts w:hint="eastAsia"/>
                <w:sz w:val="24"/>
                <w:szCs w:val="24"/>
              </w:rPr>
              <w:t>联系电话</w:t>
            </w:r>
          </w:p>
        </w:tc>
        <w:tc>
          <w:tcPr>
            <w:tcW w:w="232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801" w:type="dxa"/>
            <w:vAlign w:val="center"/>
          </w:tcPr>
          <w:p>
            <w:pPr>
              <w:jc w:val="center"/>
              <w:rPr>
                <w:sz w:val="24"/>
                <w:szCs w:val="24"/>
              </w:rPr>
            </w:pPr>
            <w:r>
              <w:rPr>
                <w:rFonts w:hint="eastAsia"/>
                <w:sz w:val="24"/>
                <w:szCs w:val="24"/>
              </w:rPr>
              <w:t>公司电话</w:t>
            </w:r>
          </w:p>
        </w:tc>
        <w:tc>
          <w:tcPr>
            <w:tcW w:w="2526" w:type="dxa"/>
            <w:vAlign w:val="center"/>
          </w:tcPr>
          <w:p>
            <w:pPr>
              <w:jc w:val="center"/>
              <w:rPr>
                <w:sz w:val="24"/>
                <w:szCs w:val="24"/>
              </w:rPr>
            </w:pPr>
          </w:p>
        </w:tc>
        <w:tc>
          <w:tcPr>
            <w:tcW w:w="2272" w:type="dxa"/>
            <w:vAlign w:val="center"/>
          </w:tcPr>
          <w:p>
            <w:pPr>
              <w:jc w:val="center"/>
              <w:rPr>
                <w:sz w:val="24"/>
                <w:szCs w:val="24"/>
              </w:rPr>
            </w:pPr>
            <w:r>
              <w:rPr>
                <w:rFonts w:hint="eastAsia"/>
                <w:sz w:val="24"/>
                <w:szCs w:val="24"/>
              </w:rPr>
              <w:t>传真</w:t>
            </w:r>
          </w:p>
        </w:tc>
        <w:tc>
          <w:tcPr>
            <w:tcW w:w="2325"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801" w:type="dxa"/>
            <w:vAlign w:val="center"/>
          </w:tcPr>
          <w:p>
            <w:pPr>
              <w:jc w:val="center"/>
              <w:rPr>
                <w:sz w:val="24"/>
                <w:szCs w:val="24"/>
              </w:rPr>
            </w:pPr>
            <w:r>
              <w:rPr>
                <w:rFonts w:hint="eastAsia"/>
                <w:sz w:val="24"/>
                <w:szCs w:val="24"/>
              </w:rPr>
              <w:t>E-mail</w:t>
            </w:r>
          </w:p>
        </w:tc>
        <w:tc>
          <w:tcPr>
            <w:tcW w:w="7123" w:type="dxa"/>
            <w:gridSpan w:val="3"/>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jc w:val="center"/>
        </w:trPr>
        <w:tc>
          <w:tcPr>
            <w:tcW w:w="1801" w:type="dxa"/>
            <w:vAlign w:val="center"/>
          </w:tcPr>
          <w:p>
            <w:pPr>
              <w:jc w:val="center"/>
              <w:rPr>
                <w:sz w:val="24"/>
                <w:szCs w:val="24"/>
              </w:rPr>
            </w:pPr>
            <w:r>
              <w:rPr>
                <w:rFonts w:hint="eastAsia"/>
                <w:sz w:val="24"/>
                <w:szCs w:val="24"/>
              </w:rPr>
              <w:t>报名时间</w:t>
            </w:r>
          </w:p>
        </w:tc>
        <w:tc>
          <w:tcPr>
            <w:tcW w:w="7123" w:type="dxa"/>
            <w:gridSpan w:val="3"/>
            <w:vAlign w:val="center"/>
          </w:tcPr>
          <w:p>
            <w:pPr>
              <w:jc w:val="center"/>
              <w:rPr>
                <w:sz w:val="24"/>
                <w:szCs w:val="24"/>
              </w:rPr>
            </w:pP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w:t>
            </w:r>
          </w:p>
        </w:tc>
      </w:tr>
    </w:tbl>
    <w:p>
      <w:pPr>
        <w:ind w:left="472" w:right="69" w:rightChars="33" w:hanging="472" w:hangingChars="196"/>
        <w:rPr>
          <w:rFonts w:ascii="宋体" w:hAnsi="宋体"/>
          <w:sz w:val="24"/>
        </w:rPr>
      </w:pPr>
      <w:r>
        <w:rPr>
          <w:rFonts w:hint="eastAsia" w:ascii="宋体" w:hAnsi="宋体"/>
          <w:b/>
          <w:sz w:val="24"/>
        </w:rPr>
        <w:t>注：</w:t>
      </w:r>
      <w:r>
        <w:rPr>
          <w:rFonts w:hint="eastAsia" w:ascii="宋体" w:hAnsi="宋体"/>
          <w:sz w:val="24"/>
        </w:rPr>
        <w:t>请投标单位认真填写并加盖公章，并于规定时间前回传。缺项及不按要求时间回复均视为自动放弃本次投标资格。</w:t>
      </w: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联系人：于洋 </w:t>
      </w:r>
      <w:r>
        <w:rPr>
          <w:rFonts w:ascii="宋体" w:hAnsi="宋体"/>
          <w:sz w:val="24"/>
          <w:szCs w:val="24"/>
        </w:rPr>
        <w:t xml:space="preserve">   </w:t>
      </w:r>
      <w:r>
        <w:rPr>
          <w:rFonts w:hint="eastAsia" w:ascii="宋体" w:hAnsi="宋体"/>
          <w:sz w:val="24"/>
          <w:szCs w:val="24"/>
        </w:rPr>
        <w:t>联系电话：</w:t>
      </w:r>
      <w:r>
        <w:rPr>
          <w:rFonts w:ascii="宋体" w:hAnsi="宋体"/>
          <w:sz w:val="24"/>
          <w:szCs w:val="24"/>
        </w:rPr>
        <w:t>1</w:t>
      </w:r>
      <w:r>
        <w:rPr>
          <w:rFonts w:hint="eastAsia" w:ascii="宋体" w:hAnsi="宋体"/>
          <w:sz w:val="24"/>
          <w:szCs w:val="24"/>
        </w:rPr>
        <w:t>5589912536</w:t>
      </w:r>
      <w:r>
        <w:rPr>
          <w:rFonts w:ascii="宋体" w:hAnsi="宋体"/>
          <w:sz w:val="24"/>
          <w:szCs w:val="24"/>
        </w:rPr>
        <w:t xml:space="preserve">   </w:t>
      </w:r>
      <w:r>
        <w:rPr>
          <w:rFonts w:hint="eastAsia" w:ascii="宋体" w:hAnsi="宋体"/>
          <w:sz w:val="24"/>
          <w:szCs w:val="24"/>
        </w:rPr>
        <w:t>邮箱：yuyang_gh</w:t>
      </w:r>
      <w:r>
        <w:rPr>
          <w:rFonts w:ascii="宋体" w:hAnsi="宋体"/>
          <w:sz w:val="24"/>
          <w:szCs w:val="24"/>
        </w:rPr>
        <w:t>@sinotruk.com</w:t>
      </w:r>
    </w:p>
    <w:p>
      <w:pPr>
        <w:rPr>
          <w:rFonts w:ascii="宋体" w:hAnsi="宋体"/>
          <w:sz w:val="24"/>
        </w:rPr>
      </w:pPr>
    </w:p>
    <w:p>
      <w:pPr>
        <w:rPr>
          <w:rFonts w:ascii="宋体" w:hAnsi="宋体"/>
          <w:sz w:val="24"/>
        </w:rPr>
      </w:pPr>
    </w:p>
    <w:p>
      <w:pPr>
        <w:spacing w:line="240" w:lineRule="auto"/>
        <w:ind w:firstLine="480"/>
        <w:rPr>
          <w:rFonts w:hint="eastAsia" w:ascii="宋体" w:hAnsi="宋体"/>
          <w:sz w:val="24"/>
        </w:rPr>
      </w:pPr>
      <w:r>
        <w:rPr>
          <w:rFonts w:hint="eastAsia" w:ascii="宋体" w:hAnsi="宋体"/>
          <w:sz w:val="24"/>
        </w:rPr>
        <w:t xml:space="preserve">投标人名称：                  授权代表签字：      </w:t>
      </w:r>
      <w:r>
        <w:rPr>
          <w:rFonts w:ascii="宋体" w:hAnsi="宋体"/>
          <w:sz w:val="24"/>
        </w:rPr>
        <w:t xml:space="preserve"> </w:t>
      </w:r>
      <w:r>
        <w:rPr>
          <w:rFonts w:hint="eastAsia" w:ascii="宋体" w:hAnsi="宋体"/>
          <w:sz w:val="24"/>
        </w:rPr>
        <w:t xml:space="preserve">      日期：</w:t>
      </w:r>
    </w:p>
    <w:p>
      <w:pPr>
        <w:spacing w:line="240" w:lineRule="auto"/>
        <w:ind w:firstLine="480"/>
        <w:rPr>
          <w:rFonts w:hint="eastAsia" w:ascii="宋体" w:hAnsi="宋体"/>
          <w:sz w:val="24"/>
        </w:rPr>
      </w:pPr>
    </w:p>
    <w:p>
      <w:pPr>
        <w:pStyle w:val="8"/>
        <w:spacing w:line="360" w:lineRule="auto"/>
        <w:rPr>
          <w:rFonts w:hint="eastAsia" w:eastAsia="黑体"/>
          <w:b/>
          <w:bCs/>
          <w:sz w:val="28"/>
          <w:lang w:val="en-US" w:eastAsia="zh-CN"/>
        </w:rPr>
      </w:pPr>
      <w:r>
        <w:rPr>
          <w:rFonts w:hint="eastAsia" w:eastAsia="黑体"/>
          <w:b/>
          <w:bCs/>
          <w:sz w:val="28"/>
        </w:rPr>
        <w:t>附件</w:t>
      </w:r>
      <w:r>
        <w:rPr>
          <w:rFonts w:hint="eastAsia" w:eastAsia="黑体"/>
          <w:b/>
          <w:bCs/>
          <w:sz w:val="28"/>
          <w:lang w:val="en-US" w:eastAsia="zh-CN"/>
        </w:rPr>
        <w:t>5</w:t>
      </w:r>
    </w:p>
    <w:p>
      <w:pPr>
        <w:jc w:val="center"/>
        <w:outlineLvl w:val="1"/>
        <w:rPr>
          <w:rFonts w:hint="eastAsia" w:ascii="仿宋_GB2312" w:hAnsi="仿宋_GB2312" w:eastAsia="仿宋_GB2312" w:cs="仿宋_GB2312"/>
          <w:b/>
          <w:bCs/>
          <w:kern w:val="2"/>
          <w:sz w:val="36"/>
          <w:szCs w:val="36"/>
          <w:lang w:val="en-US" w:eastAsia="zh-CN" w:bidi="ar-SA"/>
        </w:rPr>
      </w:pPr>
      <w:r>
        <w:rPr>
          <w:rFonts w:hint="eastAsia" w:ascii="仿宋_GB2312" w:hAnsi="仿宋_GB2312" w:eastAsia="仿宋_GB2312" w:cs="仿宋_GB2312"/>
          <w:b/>
          <w:bCs/>
          <w:kern w:val="2"/>
          <w:sz w:val="36"/>
          <w:szCs w:val="36"/>
          <w:lang w:val="en-US" w:eastAsia="zh-CN" w:bidi="ar-SA"/>
        </w:rPr>
        <w:t>系统供应商用户手册</w:t>
      </w:r>
    </w:p>
    <w:p>
      <w:pPr>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系统网址：</w:t>
      </w:r>
      <w:r>
        <w:rPr>
          <w:rFonts w:hint="eastAsia" w:ascii="仿宋_GB2312" w:hAnsi="仿宋_GB2312" w:eastAsia="仿宋_GB2312" w:cs="仿宋_GB2312"/>
          <w:color w:val="000000"/>
          <w:sz w:val="24"/>
          <w:szCs w:val="24"/>
        </w:rPr>
        <w:fldChar w:fldCharType="begin"/>
      </w:r>
      <w:r>
        <w:rPr>
          <w:rFonts w:hint="eastAsia" w:ascii="仿宋_GB2312" w:hAnsi="仿宋_GB2312" w:eastAsia="仿宋_GB2312" w:cs="仿宋_GB2312"/>
          <w:color w:val="000000"/>
          <w:sz w:val="24"/>
          <w:szCs w:val="24"/>
        </w:rPr>
        <w:instrText xml:space="preserve"> HYPERLINK "http://ecaitong.sinotruk.com:8012/" \t "dlt" </w:instrText>
      </w:r>
      <w:r>
        <w:rPr>
          <w:rFonts w:hint="eastAsia" w:ascii="仿宋_GB2312" w:hAnsi="仿宋_GB2312" w:eastAsia="仿宋_GB2312" w:cs="仿宋_GB2312"/>
          <w:color w:val="000000"/>
          <w:sz w:val="24"/>
          <w:szCs w:val="24"/>
        </w:rPr>
        <w:fldChar w:fldCharType="separate"/>
      </w:r>
      <w:r>
        <w:rPr>
          <w:rFonts w:hint="eastAsia" w:ascii="仿宋_GB2312" w:hAnsi="仿宋_GB2312" w:eastAsia="仿宋_GB2312" w:cs="仿宋_GB2312"/>
          <w:color w:val="000000"/>
          <w:sz w:val="24"/>
          <w:szCs w:val="24"/>
        </w:rPr>
        <w:t>http://ecaitong.sinotruk.com:8012/</w:t>
      </w:r>
      <w:r>
        <w:rPr>
          <w:rFonts w:hint="eastAsia" w:ascii="仿宋_GB2312" w:hAnsi="仿宋_GB2312" w:eastAsia="仿宋_GB2312" w:cs="仿宋_GB2312"/>
          <w:color w:val="000000"/>
          <w:sz w:val="24"/>
          <w:szCs w:val="24"/>
        </w:rPr>
        <w:fldChar w:fldCharType="end"/>
      </w:r>
      <w:r>
        <w:rPr>
          <w:rFonts w:hint="eastAsia" w:ascii="仿宋_GB2312" w:hAnsi="仿宋_GB2312" w:eastAsia="仿宋_GB2312" w:cs="仿宋_GB2312"/>
          <w:color w:val="000000"/>
          <w:sz w:val="24"/>
          <w:szCs w:val="24"/>
        </w:rPr>
        <w:t>（以下内容可能非最新版本，仅供参考，请登录系统网址后，点检查看最新版供应商手册）</w:t>
      </w:r>
    </w:p>
    <w:p>
      <w:pPr>
        <w:spacing w:line="360" w:lineRule="auto"/>
        <w:rPr>
          <w:rFonts w:hint="eastAsia" w:ascii="仿宋_GB2312" w:hAnsi="仿宋_GB2312" w:eastAsia="仿宋_GB2312" w:cs="仿宋_GB2312"/>
        </w:rPr>
      </w:pPr>
      <w:r>
        <w:rPr>
          <w:rFonts w:hint="eastAsia" w:ascii="仿宋_GB2312" w:hAnsi="仿宋_GB2312" w:eastAsia="仿宋_GB2312" w:cs="仿宋_GB2312"/>
        </w:rPr>
        <mc:AlternateContent>
          <mc:Choice Requires="wps">
            <w:drawing>
              <wp:anchor distT="0" distB="0" distL="114300" distR="114300" simplePos="0" relativeHeight="251659264" behindDoc="0" locked="0" layoutInCell="1" allowOverlap="1">
                <wp:simplePos x="0" y="0"/>
                <wp:positionH relativeFrom="column">
                  <wp:posOffset>1597025</wp:posOffset>
                </wp:positionH>
                <wp:positionV relativeFrom="paragraph">
                  <wp:posOffset>3650615</wp:posOffset>
                </wp:positionV>
                <wp:extent cx="2153920" cy="321945"/>
                <wp:effectExtent l="12700" t="12700" r="24130" b="27305"/>
                <wp:wrapNone/>
                <wp:docPr id="31" name="流程图: 过程 31"/>
                <wp:cNvGraphicFramePr/>
                <a:graphic xmlns:a="http://schemas.openxmlformats.org/drawingml/2006/main">
                  <a:graphicData uri="http://schemas.microsoft.com/office/word/2010/wordprocessingShape">
                    <wps:wsp>
                      <wps:cNvSpPr/>
                      <wps:spPr>
                        <a:xfrm>
                          <a:off x="2497455" y="5451475"/>
                          <a:ext cx="2153920" cy="321945"/>
                        </a:xfrm>
                        <a:prstGeom prst="flowChartProcess">
                          <a:avLst/>
                        </a:prstGeom>
                        <a:solidFill>
                          <a:srgbClr val="FA3A14">
                            <a:alpha val="3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25.75pt;margin-top:287.45pt;height:25.35pt;width:169.6pt;z-index:251659264;v-text-anchor:middle;mso-width-relative:page;mso-height-relative:page;" fillcolor="#FA3A14" filled="t" stroked="t" coordsize="21600,21600" o:gfxdata="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jVubFtkAAAALAQAADwAAAAAAAAABACAAAAAiAAAAZHJzL2Rvd25yZXYu&#10;eG1sUEsBAhQAFAAAAAgAh07iQIraRdOlAgAARAUAAA4AAAAAAAAAAQAgAAAAKAEAAGRycy9lMm9E&#10;b2MueG1sUEsFBgAAAAAGAAYAWQEAAD8GAAAAAA==&#10;">
                <v:fill on="t" opacity="24903f" focussize="0,0"/>
                <v:stroke weight="2pt" color="#385D8A [3204]" joinstyle="round"/>
                <v:imagedata o:title=""/>
                <o:lock v:ext="edit" aspectratio="f"/>
              </v:shape>
            </w:pict>
          </mc:Fallback>
        </mc:AlternateContent>
      </w:r>
      <w:r>
        <w:rPr>
          <w:rFonts w:hint="eastAsia" w:ascii="仿宋_GB2312" w:hAnsi="仿宋_GB2312" w:eastAsia="仿宋_GB2312" w:cs="仿宋_GB2312"/>
        </w:rPr>
        <w:drawing>
          <wp:inline distT="0" distB="0" distL="114300" distR="114300">
            <wp:extent cx="4067175" cy="4876800"/>
            <wp:effectExtent l="0" t="0" r="9525"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8"/>
                    <a:stretch>
                      <a:fillRect/>
                    </a:stretch>
                  </pic:blipFill>
                  <pic:spPr>
                    <a:xfrm>
                      <a:off x="0" y="0"/>
                      <a:ext cx="4067175" cy="4876800"/>
                    </a:xfrm>
                    <a:prstGeom prst="rect">
                      <a:avLst/>
                    </a:prstGeom>
                    <a:noFill/>
                    <a:ln>
                      <a:noFill/>
                    </a:ln>
                  </pic:spPr>
                </pic:pic>
              </a:graphicData>
            </a:graphic>
          </wp:inline>
        </w:drawing>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用 户 名：gys+供应商代码（</w:t>
      </w:r>
      <w:r>
        <w:rPr>
          <w:rFonts w:hint="eastAsia" w:ascii="仿宋_GB2312" w:hAnsi="仿宋_GB2312" w:eastAsia="仿宋_GB2312" w:cs="仿宋_GB2312"/>
          <w:color w:val="FF0000"/>
          <w:sz w:val="24"/>
          <w:szCs w:val="24"/>
        </w:rPr>
        <w:t>注意：注册完毕后，用户名不要用手机号登录</w:t>
      </w:r>
      <w:r>
        <w:rPr>
          <w:rFonts w:hint="eastAsia" w:ascii="仿宋_GB2312" w:hAnsi="仿宋_GB2312" w:eastAsia="仿宋_GB2312" w:cs="仿宋_GB2312"/>
          <w:color w:val="000000"/>
          <w:sz w:val="24"/>
          <w:szCs w:val="24"/>
        </w:rPr>
        <w:t>）</w:t>
      </w:r>
    </w:p>
    <w:p>
      <w:pPr>
        <w:spacing w:line="360" w:lineRule="auto"/>
        <w:outlineLvl w:val="2"/>
        <w:rPr>
          <w:rFonts w:hint="eastAsia" w:ascii="仿宋_GB2312" w:hAnsi="仿宋_GB2312" w:eastAsia="仿宋_GB2312" w:cs="仿宋_GB2312"/>
          <w:b/>
          <w:bCs/>
          <w:color w:val="000000"/>
          <w:sz w:val="24"/>
          <w:szCs w:val="24"/>
        </w:rPr>
      </w:pPr>
      <w:bookmarkStart w:id="4" w:name="_Toc3441"/>
      <w:bookmarkStart w:id="5" w:name="_Toc8718"/>
      <w:bookmarkStart w:id="6" w:name="_Toc2672"/>
    </w:p>
    <w:p>
      <w:pPr>
        <w:spacing w:line="360" w:lineRule="auto"/>
        <w:outlineLvl w:val="2"/>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1.供应商应标</w:t>
      </w:r>
      <w:bookmarkEnd w:id="4"/>
      <w:bookmarkEnd w:id="5"/>
      <w:bookmarkEnd w:id="6"/>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路径：招投标中心-非生产类招投标-供应商应标</w:t>
      </w:r>
    </w:p>
    <w:p>
      <w:pPr>
        <w:spacing w:line="360" w:lineRule="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点击应标，上传文件之后点击提交。</w:t>
      </w:r>
    </w:p>
    <w:p>
      <w:pPr>
        <w:rPr>
          <w:rFonts w:hint="eastAsia" w:ascii="仿宋_GB2312" w:hAnsi="仿宋_GB2312" w:eastAsia="仿宋_GB2312" w:cs="仿宋_GB2312"/>
        </w:rPr>
      </w:pPr>
      <w:r>
        <w:rPr>
          <w:rFonts w:hint="eastAsia" w:ascii="仿宋_GB2312" w:hAnsi="仿宋_GB2312" w:eastAsia="仿宋_GB2312" w:cs="仿宋_GB2312"/>
        </w:rPr>
        <w:drawing>
          <wp:inline distT="0" distB="0" distL="0" distR="0">
            <wp:extent cx="5760085" cy="2269490"/>
            <wp:effectExtent l="0" t="0" r="12065" b="16510"/>
            <wp:docPr id="25" name="picture" descr="descript"/>
            <wp:cNvGraphicFramePr/>
            <a:graphic xmlns:a="http://schemas.openxmlformats.org/drawingml/2006/main">
              <a:graphicData uri="http://schemas.openxmlformats.org/drawingml/2006/picture">
                <pic:pic xmlns:pic="http://schemas.openxmlformats.org/drawingml/2006/picture">
                  <pic:nvPicPr>
                    <pic:cNvPr id="25" name="picture" descr="descript"/>
                    <pic:cNvPicPr/>
                  </pic:nvPicPr>
                  <pic:blipFill>
                    <a:blip r:embed="rId9"/>
                    <a:stretch>
                      <a:fillRect/>
                    </a:stretch>
                  </pic:blipFill>
                  <pic:spPr>
                    <a:xfrm>
                      <a:off x="0" y="0"/>
                      <a:ext cx="5760085" cy="2269864"/>
                    </a:xfrm>
                    <a:prstGeom prst="rect">
                      <a:avLst/>
                    </a:prstGeom>
                  </pic:spPr>
                </pic:pic>
              </a:graphicData>
            </a:graphic>
          </wp:inline>
        </w:drawing>
      </w:r>
    </w:p>
    <w:p>
      <w:pPr>
        <w:rPr>
          <w:rFonts w:hint="eastAsia" w:ascii="仿宋_GB2312" w:hAnsi="仿宋_GB2312" w:eastAsia="仿宋_GB2312" w:cs="仿宋_GB2312"/>
        </w:rPr>
      </w:pPr>
    </w:p>
    <w:p>
      <w:pPr>
        <w:spacing w:line="360" w:lineRule="auto"/>
        <w:outlineLvl w:val="2"/>
        <w:rPr>
          <w:rFonts w:hint="eastAsia" w:ascii="仿宋_GB2312" w:hAnsi="仿宋_GB2312" w:eastAsia="仿宋_GB2312" w:cs="仿宋_GB2312"/>
          <w:b/>
          <w:bCs/>
          <w:color w:val="000000"/>
          <w:sz w:val="24"/>
          <w:szCs w:val="24"/>
        </w:rPr>
      </w:pPr>
      <w:bookmarkStart w:id="7" w:name="_Toc27304"/>
      <w:bookmarkStart w:id="8" w:name="_Toc21366"/>
      <w:bookmarkStart w:id="9" w:name="_Toc21689"/>
      <w:r>
        <w:rPr>
          <w:rFonts w:hint="eastAsia" w:ascii="仿宋_GB2312" w:hAnsi="仿宋_GB2312" w:eastAsia="仿宋_GB2312" w:cs="仿宋_GB2312"/>
          <w:b/>
          <w:bCs/>
          <w:color w:val="000000"/>
          <w:sz w:val="24"/>
          <w:szCs w:val="24"/>
        </w:rPr>
        <w:t>2.供应商投标</w:t>
      </w:r>
      <w:bookmarkEnd w:id="7"/>
      <w:bookmarkEnd w:id="8"/>
      <w:bookmarkEnd w:id="9"/>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路径：招投标中心-非生产类招投标-供应商投标</w:t>
      </w:r>
    </w:p>
    <w:p>
      <w:pPr>
        <w:rPr>
          <w:rFonts w:hint="eastAsia" w:ascii="仿宋_GB2312" w:hAnsi="仿宋_GB2312" w:eastAsia="仿宋_GB2312" w:cs="仿宋_GB2312"/>
          <w:color w:val="000000"/>
        </w:rPr>
      </w:pPr>
      <w:r>
        <w:rPr>
          <w:rFonts w:hint="eastAsia" w:ascii="仿宋_GB2312" w:hAnsi="仿宋_GB2312" w:eastAsia="仿宋_GB2312" w:cs="仿宋_GB2312"/>
          <w:color w:val="000000"/>
        </w:rPr>
        <w:drawing>
          <wp:inline distT="0" distB="0" distL="0" distR="0">
            <wp:extent cx="5760085" cy="2125345"/>
            <wp:effectExtent l="0" t="0" r="12065" b="8255"/>
            <wp:docPr id="26" name="picture" descr="descript"/>
            <wp:cNvGraphicFramePr/>
            <a:graphic xmlns:a="http://schemas.openxmlformats.org/drawingml/2006/main">
              <a:graphicData uri="http://schemas.openxmlformats.org/drawingml/2006/picture">
                <pic:pic xmlns:pic="http://schemas.openxmlformats.org/drawingml/2006/picture">
                  <pic:nvPicPr>
                    <pic:cNvPr id="26" name="picture" descr="descript"/>
                    <pic:cNvPicPr/>
                  </pic:nvPicPr>
                  <pic:blipFill>
                    <a:blip r:embed="rId10"/>
                    <a:stretch>
                      <a:fillRect/>
                    </a:stretch>
                  </pic:blipFill>
                  <pic:spPr>
                    <a:xfrm>
                      <a:off x="0" y="0"/>
                      <a:ext cx="5760085" cy="2125673"/>
                    </a:xfrm>
                    <a:prstGeom prst="rect">
                      <a:avLst/>
                    </a:prstGeom>
                  </pic:spPr>
                </pic:pic>
              </a:graphicData>
            </a:graphic>
          </wp:inline>
        </w:drawing>
      </w:r>
    </w:p>
    <w:p>
      <w:pPr>
        <w:spacing w:line="360" w:lineRule="auto"/>
        <w:rPr>
          <w:rFonts w:hint="eastAsia" w:ascii="仿宋_GB2312" w:hAnsi="仿宋_GB2312" w:eastAsia="仿宋_GB2312" w:cs="仿宋_GB2312"/>
          <w:color w:val="000000"/>
          <w:sz w:val="24"/>
          <w:szCs w:val="28"/>
        </w:rPr>
      </w:pPr>
      <w:r>
        <w:rPr>
          <w:rFonts w:hint="eastAsia" w:ascii="仿宋_GB2312" w:hAnsi="仿宋_GB2312" w:eastAsia="仿宋_GB2312" w:cs="仿宋_GB2312"/>
          <w:color w:val="000000"/>
          <w:sz w:val="24"/>
          <w:szCs w:val="28"/>
        </w:rPr>
        <w:t>点击投标按钮，进入详情页，输入投标报价并上传相应的附件。</w:t>
      </w:r>
    </w:p>
    <w:p>
      <w:pPr>
        <w:pStyle w:val="8"/>
        <w:rPr>
          <w:rFonts w:hint="eastAsia" w:ascii="仿宋_GB2312" w:hAnsi="仿宋_GB2312" w:eastAsia="仿宋_GB2312" w:cs="仿宋_GB2312"/>
        </w:rPr>
      </w:pPr>
      <w:r>
        <w:rPr>
          <w:rFonts w:hint="eastAsia" w:ascii="仿宋_GB2312" w:hAnsi="仿宋_GB2312" w:eastAsia="仿宋_GB2312" w:cs="仿宋_GB2312"/>
          <w:b/>
          <w:bCs/>
          <w:color w:val="000000"/>
          <w:sz w:val="24"/>
          <w:szCs w:val="28"/>
          <w:highlight w:val="yellow"/>
        </w:rPr>
        <w:t>注意：系统内的投标报价单位为“万元”，如开标现场发现填错报价，即直接淘汰。</w:t>
      </w:r>
    </w:p>
    <w:p>
      <w:pPr>
        <w:spacing w:before="280" w:after="290" w:line="372" w:lineRule="auto"/>
        <w:ind w:left="425" w:hanging="425"/>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drawing>
          <wp:inline distT="0" distB="0" distL="0" distR="0">
            <wp:extent cx="5490210" cy="2668905"/>
            <wp:effectExtent l="0" t="0" r="15240" b="17145"/>
            <wp:docPr id="27" name="picture" descr="descript"/>
            <wp:cNvGraphicFramePr/>
            <a:graphic xmlns:a="http://schemas.openxmlformats.org/drawingml/2006/main">
              <a:graphicData uri="http://schemas.openxmlformats.org/drawingml/2006/picture">
                <pic:pic xmlns:pic="http://schemas.openxmlformats.org/drawingml/2006/picture">
                  <pic:nvPicPr>
                    <pic:cNvPr id="27" name="picture" descr="descript"/>
                    <pic:cNvPicPr/>
                  </pic:nvPicPr>
                  <pic:blipFill>
                    <a:blip r:embed="rId11"/>
                    <a:stretch>
                      <a:fillRect/>
                    </a:stretch>
                  </pic:blipFill>
                  <pic:spPr>
                    <a:xfrm>
                      <a:off x="0" y="0"/>
                      <a:ext cx="5490210" cy="2669498"/>
                    </a:xfrm>
                    <a:prstGeom prst="rect">
                      <a:avLst/>
                    </a:prstGeom>
                  </pic:spPr>
                </pic:pic>
              </a:graphicData>
            </a:graphic>
          </wp:inline>
        </w:drawing>
      </w:r>
    </w:p>
    <w:p>
      <w:pPr>
        <w:spacing w:line="360" w:lineRule="auto"/>
        <w:outlineLvl w:val="2"/>
        <w:rPr>
          <w:rFonts w:hint="eastAsia" w:ascii="仿宋_GB2312" w:hAnsi="仿宋_GB2312" w:eastAsia="仿宋_GB2312" w:cs="仿宋_GB2312"/>
          <w:b/>
          <w:bCs/>
          <w:color w:val="000000"/>
          <w:sz w:val="24"/>
          <w:szCs w:val="24"/>
        </w:rPr>
      </w:pPr>
      <w:bookmarkStart w:id="10" w:name="_Toc14408"/>
      <w:bookmarkStart w:id="11" w:name="_Toc24733"/>
      <w:bookmarkStart w:id="12" w:name="_Toc27334"/>
      <w:r>
        <w:rPr>
          <w:rFonts w:hint="eastAsia" w:ascii="仿宋_GB2312" w:hAnsi="仿宋_GB2312" w:eastAsia="仿宋_GB2312" w:cs="仿宋_GB2312"/>
          <w:b/>
          <w:bCs/>
          <w:color w:val="000000"/>
          <w:sz w:val="24"/>
          <w:szCs w:val="24"/>
        </w:rPr>
        <w:t>3.供应商技术标澄清函</w:t>
      </w:r>
      <w:bookmarkEnd w:id="10"/>
      <w:bookmarkEnd w:id="11"/>
      <w:bookmarkEnd w:id="12"/>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路径：招投标中心-非生产类招投标-供应商技术标澄清函</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点击编辑按钮进入系统，编辑技术标澄清函最后填写授权代表姓名及电话。</w:t>
      </w:r>
    </w:p>
    <w:p>
      <w:pPr>
        <w:spacing w:line="360" w:lineRule="auto"/>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4"/>
          <w:szCs w:val="24"/>
        </w:rPr>
        <w:t>开标之后所有投标的供应商都可编辑提交，技术标入围之后 都不可编辑</w:t>
      </w:r>
      <w:r>
        <w:rPr>
          <w:rFonts w:hint="eastAsia" w:ascii="仿宋_GB2312" w:hAnsi="仿宋_GB2312" w:eastAsia="仿宋_GB2312" w:cs="仿宋_GB2312"/>
          <w:color w:val="000000"/>
          <w:sz w:val="28"/>
        </w:rPr>
        <w:drawing>
          <wp:inline distT="0" distB="0" distL="0" distR="0">
            <wp:extent cx="5490210" cy="1992630"/>
            <wp:effectExtent l="0" t="0" r="15240" b="7620"/>
            <wp:docPr id="28" name="picture" descr="descript"/>
            <wp:cNvGraphicFramePr/>
            <a:graphic xmlns:a="http://schemas.openxmlformats.org/drawingml/2006/main">
              <a:graphicData uri="http://schemas.openxmlformats.org/drawingml/2006/picture">
                <pic:pic xmlns:pic="http://schemas.openxmlformats.org/drawingml/2006/picture">
                  <pic:nvPicPr>
                    <pic:cNvPr id="28" name="picture" descr="descript"/>
                    <pic:cNvPicPr/>
                  </pic:nvPicPr>
                  <pic:blipFill>
                    <a:blip r:embed="rId12"/>
                    <a:stretch>
                      <a:fillRect/>
                    </a:stretch>
                  </pic:blipFill>
                  <pic:spPr>
                    <a:xfrm>
                      <a:off x="0" y="0"/>
                      <a:ext cx="5490210" cy="1992743"/>
                    </a:xfrm>
                    <a:prstGeom prst="rect">
                      <a:avLst/>
                    </a:prstGeom>
                  </pic:spPr>
                </pic:pic>
              </a:graphicData>
            </a:graphic>
          </wp:inline>
        </w:drawing>
      </w:r>
    </w:p>
    <w:p>
      <w:pPr>
        <w:spacing w:line="360" w:lineRule="auto"/>
        <w:outlineLvl w:val="2"/>
        <w:rPr>
          <w:rFonts w:hint="eastAsia" w:ascii="仿宋_GB2312" w:hAnsi="仿宋_GB2312" w:eastAsia="仿宋_GB2312" w:cs="仿宋_GB2312"/>
          <w:b/>
          <w:bCs/>
          <w:color w:val="000000"/>
          <w:sz w:val="24"/>
          <w:szCs w:val="24"/>
        </w:rPr>
      </w:pPr>
      <w:bookmarkStart w:id="13" w:name="_Toc2163"/>
      <w:bookmarkStart w:id="14" w:name="_Toc4672"/>
      <w:bookmarkStart w:id="15" w:name="_Toc24161"/>
      <w:r>
        <w:rPr>
          <w:rFonts w:hint="eastAsia" w:ascii="仿宋_GB2312" w:hAnsi="仿宋_GB2312" w:eastAsia="仿宋_GB2312" w:cs="仿宋_GB2312"/>
          <w:b/>
          <w:bCs/>
          <w:color w:val="000000"/>
          <w:sz w:val="24"/>
          <w:szCs w:val="24"/>
        </w:rPr>
        <w:t>4.供应商报价</w:t>
      </w:r>
      <w:bookmarkEnd w:id="13"/>
      <w:bookmarkEnd w:id="14"/>
      <w:bookmarkEnd w:id="15"/>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路径：招投标中心-非生产类招投标-供应商报价</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点击报价按钮进入报价详情界面，请在此轮报价起止时间内报价，否则无法报价。</w:t>
      </w:r>
    </w:p>
    <w:p>
      <w:pPr>
        <w:spacing w:line="360" w:lineRule="auto"/>
        <w:outlineLvl w:val="2"/>
        <w:rPr>
          <w:rFonts w:hint="eastAsia" w:ascii="仿宋_GB2312" w:hAnsi="仿宋_GB2312" w:eastAsia="仿宋_GB2312" w:cs="仿宋_GB2312"/>
          <w:b/>
          <w:bCs/>
          <w:color w:val="000000"/>
          <w:sz w:val="24"/>
          <w:szCs w:val="24"/>
        </w:rPr>
      </w:pPr>
      <w:bookmarkStart w:id="16" w:name="_Toc25209"/>
      <w:bookmarkStart w:id="17" w:name="_Toc21183"/>
      <w:bookmarkStart w:id="18" w:name="_Toc7227"/>
      <w:r>
        <w:rPr>
          <w:rFonts w:hint="eastAsia" w:ascii="仿宋_GB2312" w:hAnsi="仿宋_GB2312" w:eastAsia="仿宋_GB2312" w:cs="仿宋_GB2312"/>
          <w:b/>
          <w:bCs/>
          <w:color w:val="000000"/>
          <w:sz w:val="24"/>
          <w:szCs w:val="24"/>
        </w:rPr>
        <w:t>5.供应商澄清报价</w:t>
      </w:r>
      <w:bookmarkEnd w:id="16"/>
      <w:bookmarkEnd w:id="17"/>
      <w:bookmarkEnd w:id="18"/>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路径：招投标中心-非生产类招投标-供应商澄清报价</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招标发起人接收建议价的同时会给供应商发送澄清报价，供应商在此界面进行澄清报价，点击编辑按钮进入澄清报价详细界面，输入价格并填写商务澄清内容（最后填写授权代表姓名、电话），之后点击提交。</w:t>
      </w:r>
    </w:p>
    <w:p>
      <w:pPr>
        <w:spacing w:before="280" w:after="290" w:line="372" w:lineRule="auto"/>
        <w:ind w:left="425" w:hanging="425"/>
        <w:rPr>
          <w:rFonts w:hint="eastAsia" w:ascii="仿宋_GB2312" w:hAnsi="仿宋_GB2312" w:eastAsia="仿宋_GB2312" w:cs="仿宋_GB2312"/>
          <w:color w:val="000000"/>
          <w:sz w:val="28"/>
        </w:rPr>
      </w:pPr>
      <w:r>
        <w:rPr>
          <w:rFonts w:hint="eastAsia" w:ascii="仿宋_GB2312" w:hAnsi="仿宋_GB2312" w:eastAsia="仿宋_GB2312" w:cs="仿宋_GB2312"/>
          <w:color w:val="000000"/>
          <w:sz w:val="28"/>
        </w:rPr>
        <w:drawing>
          <wp:inline distT="0" distB="0" distL="0" distR="0">
            <wp:extent cx="5490210" cy="2544445"/>
            <wp:effectExtent l="0" t="0" r="15240" b="8255"/>
            <wp:docPr id="29" name="picture" descr="descript"/>
            <wp:cNvGraphicFramePr/>
            <a:graphic xmlns:a="http://schemas.openxmlformats.org/drawingml/2006/main">
              <a:graphicData uri="http://schemas.openxmlformats.org/drawingml/2006/picture">
                <pic:pic xmlns:pic="http://schemas.openxmlformats.org/drawingml/2006/picture">
                  <pic:nvPicPr>
                    <pic:cNvPr id="29" name="picture" descr="descript"/>
                    <pic:cNvPicPr/>
                  </pic:nvPicPr>
                  <pic:blipFill>
                    <a:blip r:embed="rId13"/>
                    <a:stretch>
                      <a:fillRect/>
                    </a:stretch>
                  </pic:blipFill>
                  <pic:spPr>
                    <a:xfrm>
                      <a:off x="0" y="0"/>
                      <a:ext cx="5490210" cy="2544669"/>
                    </a:xfrm>
                    <a:prstGeom prst="rect">
                      <a:avLst/>
                    </a:prstGeom>
                  </pic:spPr>
                </pic:pic>
              </a:graphicData>
            </a:graphic>
          </wp:inline>
        </w:drawing>
      </w:r>
    </w:p>
    <w:p>
      <w:pPr>
        <w:spacing w:line="360" w:lineRule="auto"/>
        <w:outlineLvl w:val="2"/>
        <w:rPr>
          <w:rFonts w:hint="eastAsia" w:ascii="仿宋_GB2312" w:hAnsi="仿宋_GB2312" w:eastAsia="仿宋_GB2312" w:cs="仿宋_GB2312"/>
          <w:b/>
          <w:bCs/>
          <w:color w:val="000000"/>
          <w:sz w:val="24"/>
          <w:szCs w:val="24"/>
        </w:rPr>
      </w:pPr>
      <w:bookmarkStart w:id="19" w:name="_Toc21540"/>
      <w:bookmarkStart w:id="20" w:name="_Toc4981"/>
      <w:bookmarkStart w:id="21" w:name="_Toc30950"/>
      <w:r>
        <w:rPr>
          <w:rFonts w:hint="eastAsia" w:ascii="仿宋_GB2312" w:hAnsi="仿宋_GB2312" w:eastAsia="仿宋_GB2312" w:cs="仿宋_GB2312"/>
          <w:b/>
          <w:bCs/>
          <w:color w:val="000000"/>
          <w:sz w:val="24"/>
          <w:szCs w:val="24"/>
        </w:rPr>
        <w:t>6.供应商查看中标通知</w:t>
      </w:r>
      <w:bookmarkEnd w:id="19"/>
      <w:bookmarkEnd w:id="20"/>
      <w:bookmarkEnd w:id="21"/>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路径：招投标中心-非生产类招投标-中标项目</w:t>
      </w:r>
    </w:p>
    <w:p>
      <w:pPr>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点击查看进入查看中标项目详情</w:t>
      </w:r>
    </w:p>
    <w:p>
      <w:pPr>
        <w:rPr>
          <w:rFonts w:hint="eastAsia" w:ascii="仿宋_GB2312" w:hAnsi="仿宋_GB2312" w:eastAsia="仿宋_GB2312" w:cs="仿宋_GB2312"/>
        </w:rPr>
      </w:pPr>
      <w:r>
        <w:rPr>
          <w:rFonts w:hint="eastAsia" w:ascii="仿宋_GB2312" w:hAnsi="仿宋_GB2312" w:eastAsia="仿宋_GB2312" w:cs="仿宋_GB2312"/>
        </w:rPr>
        <w:drawing>
          <wp:inline distT="0" distB="0" distL="0" distR="0">
            <wp:extent cx="5760085" cy="1956435"/>
            <wp:effectExtent l="0" t="0" r="12065" b="5715"/>
            <wp:docPr id="30" name="picture" descr="descript"/>
            <wp:cNvGraphicFramePr/>
            <a:graphic xmlns:a="http://schemas.openxmlformats.org/drawingml/2006/main">
              <a:graphicData uri="http://schemas.openxmlformats.org/drawingml/2006/picture">
                <pic:pic xmlns:pic="http://schemas.openxmlformats.org/drawingml/2006/picture">
                  <pic:nvPicPr>
                    <pic:cNvPr id="30" name="picture" descr="descript"/>
                    <pic:cNvPicPr/>
                  </pic:nvPicPr>
                  <pic:blipFill>
                    <a:blip r:embed="rId14"/>
                    <a:stretch>
                      <a:fillRect/>
                    </a:stretch>
                  </pic:blipFill>
                  <pic:spPr>
                    <a:xfrm>
                      <a:off x="0" y="0"/>
                      <a:ext cx="5760085" cy="1956600"/>
                    </a:xfrm>
                    <a:prstGeom prst="rect">
                      <a:avLst/>
                    </a:prstGeom>
                  </pic:spPr>
                </pic:pic>
              </a:graphicData>
            </a:graphic>
          </wp:inline>
        </w:drawing>
      </w:r>
    </w:p>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p>
      <w:pPr>
        <w:pStyle w:val="8"/>
        <w:spacing w:line="360" w:lineRule="auto"/>
        <w:rPr>
          <w:rFonts w:hint="eastAsia" w:eastAsia="黑体"/>
          <w:b/>
          <w:bCs/>
          <w:sz w:val="28"/>
          <w:lang w:val="en-US" w:eastAsia="zh-CN"/>
        </w:rPr>
      </w:pPr>
    </w:p>
    <w:sectPr>
      <w:headerReference r:id="rId4" w:type="first"/>
      <w:footerReference r:id="rId6" w:type="first"/>
      <w:headerReference r:id="rId3" w:type="default"/>
      <w:footerReference r:id="rId5" w:type="default"/>
      <w:pgSz w:w="11906" w:h="16838"/>
      <w:pgMar w:top="1588" w:right="1418" w:bottom="1134" w:left="1418" w:header="851" w:footer="992" w:gutter="0"/>
      <w:pgBorders>
        <w:top w:val="none" w:sz="0" w:space="0"/>
        <w:left w:val="none" w:sz="0" w:space="0"/>
        <w:bottom w:val="none" w:sz="0" w:space="0"/>
        <w:right w:val="none" w:sz="0" w:space="0"/>
      </w:pgBorders>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7463749"/>
    </w:sdtPr>
    <w:sdtContent>
      <w:p>
        <w:pPr>
          <w:pStyle w:val="10"/>
          <w:jc w:val="center"/>
        </w:pPr>
        <w:r>
          <w:fldChar w:fldCharType="begin"/>
        </w:r>
        <w:r>
          <w:instrText xml:space="preserve">PAGE   \* MERGEFORMAT</w:instrText>
        </w:r>
        <w:r>
          <w:fldChar w:fldCharType="separate"/>
        </w:r>
        <w:r>
          <w:rPr>
            <w:lang w:val="zh-CN"/>
          </w:rPr>
          <w:t>4</w:t>
        </w:r>
        <w: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F909DA"/>
    <w:multiLevelType w:val="singleLevel"/>
    <w:tmpl w:val="FCF909DA"/>
    <w:lvl w:ilvl="0" w:tentative="0">
      <w:start w:val="9"/>
      <w:numFmt w:val="chineseCounting"/>
      <w:suff w:val="nothing"/>
      <w:lvlText w:val="%1、"/>
      <w:lvlJc w:val="left"/>
      <w:rPr>
        <w:rFonts w:hint="eastAsia"/>
      </w:rPr>
    </w:lvl>
  </w:abstractNum>
  <w:abstractNum w:abstractNumId="1">
    <w:nsid w:val="2CC074AB"/>
    <w:multiLevelType w:val="multilevel"/>
    <w:tmpl w:val="2CC074AB"/>
    <w:lvl w:ilvl="0" w:tentative="0">
      <w:start w:val="1"/>
      <w:numFmt w:val="decimal"/>
      <w:lvlText w:val="%1．"/>
      <w:lvlJc w:val="left"/>
      <w:pPr>
        <w:tabs>
          <w:tab w:val="left" w:pos="795"/>
        </w:tabs>
        <w:ind w:left="795" w:hanging="360"/>
      </w:pPr>
      <w:rPr>
        <w:rFonts w:hint="eastAsia"/>
      </w:rPr>
    </w:lvl>
    <w:lvl w:ilvl="1" w:tentative="0">
      <w:start w:val="1"/>
      <w:numFmt w:val="lowerLetter"/>
      <w:lvlText w:val="%2)"/>
      <w:lvlJc w:val="left"/>
      <w:pPr>
        <w:tabs>
          <w:tab w:val="left" w:pos="1275"/>
        </w:tabs>
        <w:ind w:left="1275" w:hanging="420"/>
      </w:pPr>
    </w:lvl>
    <w:lvl w:ilvl="2" w:tentative="0">
      <w:start w:val="1"/>
      <w:numFmt w:val="lowerRoman"/>
      <w:lvlText w:val="%3."/>
      <w:lvlJc w:val="right"/>
      <w:pPr>
        <w:tabs>
          <w:tab w:val="left" w:pos="1695"/>
        </w:tabs>
        <w:ind w:left="1695" w:hanging="420"/>
      </w:pPr>
    </w:lvl>
    <w:lvl w:ilvl="3" w:tentative="0">
      <w:start w:val="1"/>
      <w:numFmt w:val="decimal"/>
      <w:lvlText w:val="%4."/>
      <w:lvlJc w:val="left"/>
      <w:pPr>
        <w:tabs>
          <w:tab w:val="left" w:pos="2115"/>
        </w:tabs>
        <w:ind w:left="2115" w:hanging="420"/>
      </w:pPr>
    </w:lvl>
    <w:lvl w:ilvl="4" w:tentative="0">
      <w:start w:val="1"/>
      <w:numFmt w:val="lowerLetter"/>
      <w:lvlText w:val="%5)"/>
      <w:lvlJc w:val="left"/>
      <w:pPr>
        <w:tabs>
          <w:tab w:val="left" w:pos="2535"/>
        </w:tabs>
        <w:ind w:left="2535" w:hanging="420"/>
      </w:pPr>
    </w:lvl>
    <w:lvl w:ilvl="5" w:tentative="0">
      <w:start w:val="1"/>
      <w:numFmt w:val="lowerRoman"/>
      <w:lvlText w:val="%6."/>
      <w:lvlJc w:val="right"/>
      <w:pPr>
        <w:tabs>
          <w:tab w:val="left" w:pos="2955"/>
        </w:tabs>
        <w:ind w:left="2955" w:hanging="420"/>
      </w:pPr>
    </w:lvl>
    <w:lvl w:ilvl="6" w:tentative="0">
      <w:start w:val="1"/>
      <w:numFmt w:val="decimal"/>
      <w:lvlText w:val="%7."/>
      <w:lvlJc w:val="left"/>
      <w:pPr>
        <w:tabs>
          <w:tab w:val="left" w:pos="3375"/>
        </w:tabs>
        <w:ind w:left="3375" w:hanging="420"/>
      </w:pPr>
    </w:lvl>
    <w:lvl w:ilvl="7" w:tentative="0">
      <w:start w:val="1"/>
      <w:numFmt w:val="lowerLetter"/>
      <w:lvlText w:val="%8)"/>
      <w:lvlJc w:val="left"/>
      <w:pPr>
        <w:tabs>
          <w:tab w:val="left" w:pos="3795"/>
        </w:tabs>
        <w:ind w:left="3795" w:hanging="420"/>
      </w:pPr>
    </w:lvl>
    <w:lvl w:ilvl="8" w:tentative="0">
      <w:start w:val="1"/>
      <w:numFmt w:val="lowerRoman"/>
      <w:lvlText w:val="%9."/>
      <w:lvlJc w:val="right"/>
      <w:pPr>
        <w:tabs>
          <w:tab w:val="left" w:pos="4215"/>
        </w:tabs>
        <w:ind w:left="421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NzI5MjZhZDc4MDY5MDg0NmY3MjhkZTBmZjJiYjQifQ=="/>
  </w:docVars>
  <w:rsids>
    <w:rsidRoot w:val="00074ECD"/>
    <w:rsid w:val="00000BA8"/>
    <w:rsid w:val="000110F5"/>
    <w:rsid w:val="0001210B"/>
    <w:rsid w:val="000236A0"/>
    <w:rsid w:val="00040288"/>
    <w:rsid w:val="00040A58"/>
    <w:rsid w:val="00047179"/>
    <w:rsid w:val="00050ED0"/>
    <w:rsid w:val="00051099"/>
    <w:rsid w:val="00051152"/>
    <w:rsid w:val="00065F09"/>
    <w:rsid w:val="0006758F"/>
    <w:rsid w:val="00067641"/>
    <w:rsid w:val="000676E6"/>
    <w:rsid w:val="00072497"/>
    <w:rsid w:val="00072A07"/>
    <w:rsid w:val="00074ECD"/>
    <w:rsid w:val="00092143"/>
    <w:rsid w:val="000A0F85"/>
    <w:rsid w:val="000A20ED"/>
    <w:rsid w:val="000A4D85"/>
    <w:rsid w:val="000A5225"/>
    <w:rsid w:val="000C20EF"/>
    <w:rsid w:val="000C3069"/>
    <w:rsid w:val="000C5066"/>
    <w:rsid w:val="000C6F69"/>
    <w:rsid w:val="000C7A81"/>
    <w:rsid w:val="000D2054"/>
    <w:rsid w:val="000D7048"/>
    <w:rsid w:val="000E3A82"/>
    <w:rsid w:val="000F071F"/>
    <w:rsid w:val="000F31EF"/>
    <w:rsid w:val="000F41C1"/>
    <w:rsid w:val="00101889"/>
    <w:rsid w:val="001033AC"/>
    <w:rsid w:val="00103731"/>
    <w:rsid w:val="00106B1C"/>
    <w:rsid w:val="00107229"/>
    <w:rsid w:val="001217AE"/>
    <w:rsid w:val="00124BD7"/>
    <w:rsid w:val="0013059E"/>
    <w:rsid w:val="00131E56"/>
    <w:rsid w:val="001335E6"/>
    <w:rsid w:val="00137D11"/>
    <w:rsid w:val="00140B2B"/>
    <w:rsid w:val="00144D40"/>
    <w:rsid w:val="00145CD6"/>
    <w:rsid w:val="001517CF"/>
    <w:rsid w:val="00151E01"/>
    <w:rsid w:val="0015227B"/>
    <w:rsid w:val="00155731"/>
    <w:rsid w:val="001640BD"/>
    <w:rsid w:val="0017160C"/>
    <w:rsid w:val="0017282F"/>
    <w:rsid w:val="00184206"/>
    <w:rsid w:val="00185135"/>
    <w:rsid w:val="0018660F"/>
    <w:rsid w:val="001911B0"/>
    <w:rsid w:val="001969C1"/>
    <w:rsid w:val="00196E3E"/>
    <w:rsid w:val="001A4E67"/>
    <w:rsid w:val="001A6F9D"/>
    <w:rsid w:val="001B34EC"/>
    <w:rsid w:val="001B4F39"/>
    <w:rsid w:val="001B7D66"/>
    <w:rsid w:val="001C0565"/>
    <w:rsid w:val="001C5224"/>
    <w:rsid w:val="001D47CC"/>
    <w:rsid w:val="001E731F"/>
    <w:rsid w:val="001F62E3"/>
    <w:rsid w:val="001F744A"/>
    <w:rsid w:val="002036D6"/>
    <w:rsid w:val="0021266B"/>
    <w:rsid w:val="00216993"/>
    <w:rsid w:val="00217BE7"/>
    <w:rsid w:val="00220BFD"/>
    <w:rsid w:val="00221474"/>
    <w:rsid w:val="00224AB1"/>
    <w:rsid w:val="00231720"/>
    <w:rsid w:val="002343CE"/>
    <w:rsid w:val="0023594D"/>
    <w:rsid w:val="00236094"/>
    <w:rsid w:val="00241274"/>
    <w:rsid w:val="00241275"/>
    <w:rsid w:val="002430E0"/>
    <w:rsid w:val="00243159"/>
    <w:rsid w:val="0024340F"/>
    <w:rsid w:val="00243B88"/>
    <w:rsid w:val="00247F4F"/>
    <w:rsid w:val="00250D11"/>
    <w:rsid w:val="00251947"/>
    <w:rsid w:val="00251BD4"/>
    <w:rsid w:val="00254CBF"/>
    <w:rsid w:val="0026026A"/>
    <w:rsid w:val="00264D1B"/>
    <w:rsid w:val="002650EC"/>
    <w:rsid w:val="00266286"/>
    <w:rsid w:val="00266C2D"/>
    <w:rsid w:val="00271666"/>
    <w:rsid w:val="00273816"/>
    <w:rsid w:val="002761EC"/>
    <w:rsid w:val="002857A2"/>
    <w:rsid w:val="00297B75"/>
    <w:rsid w:val="002A6135"/>
    <w:rsid w:val="002B24E6"/>
    <w:rsid w:val="002B6D67"/>
    <w:rsid w:val="002C4CA4"/>
    <w:rsid w:val="002C4E52"/>
    <w:rsid w:val="002C70B4"/>
    <w:rsid w:val="002C7802"/>
    <w:rsid w:val="002D1C00"/>
    <w:rsid w:val="002D2B2D"/>
    <w:rsid w:val="002D4095"/>
    <w:rsid w:val="002D7BBA"/>
    <w:rsid w:val="002E5E4F"/>
    <w:rsid w:val="002E6FA9"/>
    <w:rsid w:val="002F05AF"/>
    <w:rsid w:val="002F2827"/>
    <w:rsid w:val="002F2A3F"/>
    <w:rsid w:val="0030008C"/>
    <w:rsid w:val="00305DB7"/>
    <w:rsid w:val="003127C5"/>
    <w:rsid w:val="00314D6F"/>
    <w:rsid w:val="00325D21"/>
    <w:rsid w:val="00327ABA"/>
    <w:rsid w:val="003339B5"/>
    <w:rsid w:val="00343C75"/>
    <w:rsid w:val="003457B6"/>
    <w:rsid w:val="0034608A"/>
    <w:rsid w:val="003464EC"/>
    <w:rsid w:val="00352B8D"/>
    <w:rsid w:val="00353F5D"/>
    <w:rsid w:val="003565C5"/>
    <w:rsid w:val="0036115F"/>
    <w:rsid w:val="00363FFB"/>
    <w:rsid w:val="00372827"/>
    <w:rsid w:val="00372996"/>
    <w:rsid w:val="003777E6"/>
    <w:rsid w:val="003822B5"/>
    <w:rsid w:val="00384094"/>
    <w:rsid w:val="0038468E"/>
    <w:rsid w:val="00384E29"/>
    <w:rsid w:val="00392539"/>
    <w:rsid w:val="00394554"/>
    <w:rsid w:val="00395CC0"/>
    <w:rsid w:val="003A009C"/>
    <w:rsid w:val="003A28B2"/>
    <w:rsid w:val="003A2D01"/>
    <w:rsid w:val="003A58E0"/>
    <w:rsid w:val="003A5AA1"/>
    <w:rsid w:val="003C388B"/>
    <w:rsid w:val="003C40CF"/>
    <w:rsid w:val="003C5278"/>
    <w:rsid w:val="003D2450"/>
    <w:rsid w:val="003D44D1"/>
    <w:rsid w:val="003E1FA5"/>
    <w:rsid w:val="003E4809"/>
    <w:rsid w:val="003E49A9"/>
    <w:rsid w:val="00401262"/>
    <w:rsid w:val="00402370"/>
    <w:rsid w:val="004146C5"/>
    <w:rsid w:val="004204EA"/>
    <w:rsid w:val="00421613"/>
    <w:rsid w:val="00433EDE"/>
    <w:rsid w:val="00433F13"/>
    <w:rsid w:val="00435E29"/>
    <w:rsid w:val="004433DE"/>
    <w:rsid w:val="00450EED"/>
    <w:rsid w:val="0045323B"/>
    <w:rsid w:val="00457E67"/>
    <w:rsid w:val="00463F46"/>
    <w:rsid w:val="004646A6"/>
    <w:rsid w:val="004657C6"/>
    <w:rsid w:val="0047348C"/>
    <w:rsid w:val="004758A5"/>
    <w:rsid w:val="004810B5"/>
    <w:rsid w:val="00481DD7"/>
    <w:rsid w:val="004908A2"/>
    <w:rsid w:val="00490D67"/>
    <w:rsid w:val="004A0528"/>
    <w:rsid w:val="004A75D2"/>
    <w:rsid w:val="004A7C9D"/>
    <w:rsid w:val="004B20D6"/>
    <w:rsid w:val="004C0931"/>
    <w:rsid w:val="004E12C9"/>
    <w:rsid w:val="004E1705"/>
    <w:rsid w:val="004E5F34"/>
    <w:rsid w:val="00504FBF"/>
    <w:rsid w:val="00514B61"/>
    <w:rsid w:val="005152E5"/>
    <w:rsid w:val="00516C30"/>
    <w:rsid w:val="005263E6"/>
    <w:rsid w:val="00530C84"/>
    <w:rsid w:val="00532C26"/>
    <w:rsid w:val="0054550E"/>
    <w:rsid w:val="0054685C"/>
    <w:rsid w:val="0055429B"/>
    <w:rsid w:val="00554628"/>
    <w:rsid w:val="005562CE"/>
    <w:rsid w:val="00557BA5"/>
    <w:rsid w:val="00572397"/>
    <w:rsid w:val="005762C1"/>
    <w:rsid w:val="005773F2"/>
    <w:rsid w:val="00583887"/>
    <w:rsid w:val="00584BEC"/>
    <w:rsid w:val="00584FCD"/>
    <w:rsid w:val="00592488"/>
    <w:rsid w:val="005A0E2D"/>
    <w:rsid w:val="005A1F0B"/>
    <w:rsid w:val="005A57E5"/>
    <w:rsid w:val="005A630B"/>
    <w:rsid w:val="005B6CCF"/>
    <w:rsid w:val="005C1160"/>
    <w:rsid w:val="005C1A03"/>
    <w:rsid w:val="005D1815"/>
    <w:rsid w:val="005D43A8"/>
    <w:rsid w:val="005D6159"/>
    <w:rsid w:val="005D71FF"/>
    <w:rsid w:val="005E3D4D"/>
    <w:rsid w:val="005E6F12"/>
    <w:rsid w:val="005F1E94"/>
    <w:rsid w:val="005F1F46"/>
    <w:rsid w:val="005F4DB1"/>
    <w:rsid w:val="005F66F1"/>
    <w:rsid w:val="00604F50"/>
    <w:rsid w:val="00612CDF"/>
    <w:rsid w:val="00621934"/>
    <w:rsid w:val="006229AA"/>
    <w:rsid w:val="00627958"/>
    <w:rsid w:val="006510FC"/>
    <w:rsid w:val="00652662"/>
    <w:rsid w:val="00654B11"/>
    <w:rsid w:val="0065795D"/>
    <w:rsid w:val="0066506A"/>
    <w:rsid w:val="0066691D"/>
    <w:rsid w:val="00671AF5"/>
    <w:rsid w:val="006728E7"/>
    <w:rsid w:val="00673888"/>
    <w:rsid w:val="00676579"/>
    <w:rsid w:val="0068068A"/>
    <w:rsid w:val="00681480"/>
    <w:rsid w:val="00682FF9"/>
    <w:rsid w:val="00690376"/>
    <w:rsid w:val="006A3A3A"/>
    <w:rsid w:val="006A41C2"/>
    <w:rsid w:val="006B111D"/>
    <w:rsid w:val="006B2236"/>
    <w:rsid w:val="006B3E03"/>
    <w:rsid w:val="006B5CEB"/>
    <w:rsid w:val="006B6DE7"/>
    <w:rsid w:val="006B6E6D"/>
    <w:rsid w:val="006C01E5"/>
    <w:rsid w:val="006C188F"/>
    <w:rsid w:val="006D12CE"/>
    <w:rsid w:val="006D52A1"/>
    <w:rsid w:val="006E03B0"/>
    <w:rsid w:val="006E1534"/>
    <w:rsid w:val="006E4BD1"/>
    <w:rsid w:val="006F3BEA"/>
    <w:rsid w:val="006F58E1"/>
    <w:rsid w:val="007033FE"/>
    <w:rsid w:val="007044D7"/>
    <w:rsid w:val="007148DB"/>
    <w:rsid w:val="00715AC0"/>
    <w:rsid w:val="00720250"/>
    <w:rsid w:val="0072386F"/>
    <w:rsid w:val="0072659B"/>
    <w:rsid w:val="00745C69"/>
    <w:rsid w:val="00746E3D"/>
    <w:rsid w:val="0075137D"/>
    <w:rsid w:val="007526D6"/>
    <w:rsid w:val="00752E60"/>
    <w:rsid w:val="00770914"/>
    <w:rsid w:val="007905B4"/>
    <w:rsid w:val="007A4CB1"/>
    <w:rsid w:val="007A7BBC"/>
    <w:rsid w:val="007B284A"/>
    <w:rsid w:val="007B2B28"/>
    <w:rsid w:val="007B2B8F"/>
    <w:rsid w:val="007B6C8E"/>
    <w:rsid w:val="007B7CD0"/>
    <w:rsid w:val="007C2646"/>
    <w:rsid w:val="007C5FCE"/>
    <w:rsid w:val="007D085E"/>
    <w:rsid w:val="007D2159"/>
    <w:rsid w:val="007D2EB7"/>
    <w:rsid w:val="007D58E9"/>
    <w:rsid w:val="007D59BF"/>
    <w:rsid w:val="007D5BD4"/>
    <w:rsid w:val="007E2225"/>
    <w:rsid w:val="007E4CB5"/>
    <w:rsid w:val="007E5462"/>
    <w:rsid w:val="007E56D3"/>
    <w:rsid w:val="007E6DED"/>
    <w:rsid w:val="007F0804"/>
    <w:rsid w:val="007F0A35"/>
    <w:rsid w:val="007F56D6"/>
    <w:rsid w:val="0080769E"/>
    <w:rsid w:val="00826ED5"/>
    <w:rsid w:val="00830D4E"/>
    <w:rsid w:val="00837210"/>
    <w:rsid w:val="008373B9"/>
    <w:rsid w:val="00841B59"/>
    <w:rsid w:val="008456DB"/>
    <w:rsid w:val="008513F0"/>
    <w:rsid w:val="008537E0"/>
    <w:rsid w:val="00864EAF"/>
    <w:rsid w:val="00872961"/>
    <w:rsid w:val="008778DB"/>
    <w:rsid w:val="00880270"/>
    <w:rsid w:val="008820D4"/>
    <w:rsid w:val="00883BFC"/>
    <w:rsid w:val="008915C3"/>
    <w:rsid w:val="00892583"/>
    <w:rsid w:val="00895CB2"/>
    <w:rsid w:val="0089613B"/>
    <w:rsid w:val="008963CB"/>
    <w:rsid w:val="008A2165"/>
    <w:rsid w:val="008A3E08"/>
    <w:rsid w:val="008A6EE4"/>
    <w:rsid w:val="008A7925"/>
    <w:rsid w:val="008B3AF6"/>
    <w:rsid w:val="008B4689"/>
    <w:rsid w:val="008B5C6D"/>
    <w:rsid w:val="008C4504"/>
    <w:rsid w:val="008D1618"/>
    <w:rsid w:val="008F140F"/>
    <w:rsid w:val="00902742"/>
    <w:rsid w:val="009046D7"/>
    <w:rsid w:val="0090556D"/>
    <w:rsid w:val="00907033"/>
    <w:rsid w:val="0091297A"/>
    <w:rsid w:val="00912EBF"/>
    <w:rsid w:val="00913420"/>
    <w:rsid w:val="009234DA"/>
    <w:rsid w:val="009246F1"/>
    <w:rsid w:val="009249DF"/>
    <w:rsid w:val="009253FF"/>
    <w:rsid w:val="00932C29"/>
    <w:rsid w:val="00934301"/>
    <w:rsid w:val="009369B5"/>
    <w:rsid w:val="00950432"/>
    <w:rsid w:val="00950AA7"/>
    <w:rsid w:val="00953DFF"/>
    <w:rsid w:val="00955919"/>
    <w:rsid w:val="009561FE"/>
    <w:rsid w:val="009572F9"/>
    <w:rsid w:val="009923E7"/>
    <w:rsid w:val="00993742"/>
    <w:rsid w:val="00996868"/>
    <w:rsid w:val="009A0642"/>
    <w:rsid w:val="009A5613"/>
    <w:rsid w:val="009A66B6"/>
    <w:rsid w:val="009B0CA3"/>
    <w:rsid w:val="009B19D1"/>
    <w:rsid w:val="009B50B4"/>
    <w:rsid w:val="009B5F19"/>
    <w:rsid w:val="009B69C2"/>
    <w:rsid w:val="009B76F6"/>
    <w:rsid w:val="009C3553"/>
    <w:rsid w:val="009C3BF7"/>
    <w:rsid w:val="009D0873"/>
    <w:rsid w:val="009D3F7D"/>
    <w:rsid w:val="009D7054"/>
    <w:rsid w:val="009E1515"/>
    <w:rsid w:val="009E4932"/>
    <w:rsid w:val="009F08F4"/>
    <w:rsid w:val="009F659D"/>
    <w:rsid w:val="009F7334"/>
    <w:rsid w:val="00A00C1F"/>
    <w:rsid w:val="00A04045"/>
    <w:rsid w:val="00A0736D"/>
    <w:rsid w:val="00A113B7"/>
    <w:rsid w:val="00A30934"/>
    <w:rsid w:val="00A33A8B"/>
    <w:rsid w:val="00A3468C"/>
    <w:rsid w:val="00A35882"/>
    <w:rsid w:val="00A47E7D"/>
    <w:rsid w:val="00A54BCF"/>
    <w:rsid w:val="00A55BBC"/>
    <w:rsid w:val="00A61F8F"/>
    <w:rsid w:val="00A70987"/>
    <w:rsid w:val="00A7164A"/>
    <w:rsid w:val="00A71B04"/>
    <w:rsid w:val="00A723BE"/>
    <w:rsid w:val="00A77F5B"/>
    <w:rsid w:val="00A83CB9"/>
    <w:rsid w:val="00A84FA3"/>
    <w:rsid w:val="00A851D3"/>
    <w:rsid w:val="00A85B34"/>
    <w:rsid w:val="00A90E39"/>
    <w:rsid w:val="00A91615"/>
    <w:rsid w:val="00A95573"/>
    <w:rsid w:val="00A973A5"/>
    <w:rsid w:val="00A97768"/>
    <w:rsid w:val="00AA2056"/>
    <w:rsid w:val="00AA2FAD"/>
    <w:rsid w:val="00AA7883"/>
    <w:rsid w:val="00AB0DFD"/>
    <w:rsid w:val="00AB2374"/>
    <w:rsid w:val="00AC653B"/>
    <w:rsid w:val="00AC6A93"/>
    <w:rsid w:val="00AC6D88"/>
    <w:rsid w:val="00AD16AF"/>
    <w:rsid w:val="00AE2069"/>
    <w:rsid w:val="00AE2194"/>
    <w:rsid w:val="00AE3ADF"/>
    <w:rsid w:val="00AE646D"/>
    <w:rsid w:val="00AF1D05"/>
    <w:rsid w:val="00B0394B"/>
    <w:rsid w:val="00B068D8"/>
    <w:rsid w:val="00B16661"/>
    <w:rsid w:val="00B177B7"/>
    <w:rsid w:val="00B347BE"/>
    <w:rsid w:val="00B34B85"/>
    <w:rsid w:val="00B361B8"/>
    <w:rsid w:val="00B41460"/>
    <w:rsid w:val="00B440EE"/>
    <w:rsid w:val="00B47B77"/>
    <w:rsid w:val="00B5271C"/>
    <w:rsid w:val="00B606A4"/>
    <w:rsid w:val="00B70A6C"/>
    <w:rsid w:val="00B81F67"/>
    <w:rsid w:val="00B9117D"/>
    <w:rsid w:val="00BA09E6"/>
    <w:rsid w:val="00BA3F97"/>
    <w:rsid w:val="00BC66A3"/>
    <w:rsid w:val="00BC783B"/>
    <w:rsid w:val="00BC7D07"/>
    <w:rsid w:val="00BD1616"/>
    <w:rsid w:val="00BE4439"/>
    <w:rsid w:val="00BE4E03"/>
    <w:rsid w:val="00BF6BB0"/>
    <w:rsid w:val="00C0269E"/>
    <w:rsid w:val="00C07951"/>
    <w:rsid w:val="00C13A3A"/>
    <w:rsid w:val="00C20CDC"/>
    <w:rsid w:val="00C20F52"/>
    <w:rsid w:val="00C241C2"/>
    <w:rsid w:val="00C24909"/>
    <w:rsid w:val="00C31988"/>
    <w:rsid w:val="00C342CF"/>
    <w:rsid w:val="00C42C63"/>
    <w:rsid w:val="00C54B3B"/>
    <w:rsid w:val="00C54EC3"/>
    <w:rsid w:val="00C60B43"/>
    <w:rsid w:val="00C6449D"/>
    <w:rsid w:val="00C723FC"/>
    <w:rsid w:val="00C72CFB"/>
    <w:rsid w:val="00C75C55"/>
    <w:rsid w:val="00C8152B"/>
    <w:rsid w:val="00C85104"/>
    <w:rsid w:val="00C86A12"/>
    <w:rsid w:val="00CA5A7C"/>
    <w:rsid w:val="00CB1B20"/>
    <w:rsid w:val="00CB1F92"/>
    <w:rsid w:val="00CB758E"/>
    <w:rsid w:val="00CC2A9B"/>
    <w:rsid w:val="00CE32CA"/>
    <w:rsid w:val="00CE7667"/>
    <w:rsid w:val="00D02730"/>
    <w:rsid w:val="00D03367"/>
    <w:rsid w:val="00D04B17"/>
    <w:rsid w:val="00D074D7"/>
    <w:rsid w:val="00D13A90"/>
    <w:rsid w:val="00D206C9"/>
    <w:rsid w:val="00D2745A"/>
    <w:rsid w:val="00D31572"/>
    <w:rsid w:val="00D35EC2"/>
    <w:rsid w:val="00D4266F"/>
    <w:rsid w:val="00D47A1F"/>
    <w:rsid w:val="00D54933"/>
    <w:rsid w:val="00D73C8D"/>
    <w:rsid w:val="00D76CF5"/>
    <w:rsid w:val="00D77B2C"/>
    <w:rsid w:val="00D8151C"/>
    <w:rsid w:val="00D83713"/>
    <w:rsid w:val="00D872A7"/>
    <w:rsid w:val="00D921A1"/>
    <w:rsid w:val="00D969DD"/>
    <w:rsid w:val="00D97F02"/>
    <w:rsid w:val="00DA0034"/>
    <w:rsid w:val="00DA3737"/>
    <w:rsid w:val="00DA4EBC"/>
    <w:rsid w:val="00DA783A"/>
    <w:rsid w:val="00DA7A3A"/>
    <w:rsid w:val="00DC045C"/>
    <w:rsid w:val="00DD26BB"/>
    <w:rsid w:val="00DD3978"/>
    <w:rsid w:val="00DD4640"/>
    <w:rsid w:val="00DE1F46"/>
    <w:rsid w:val="00DE3725"/>
    <w:rsid w:val="00DE64C1"/>
    <w:rsid w:val="00DE69C9"/>
    <w:rsid w:val="00DF7924"/>
    <w:rsid w:val="00E042A8"/>
    <w:rsid w:val="00E121DD"/>
    <w:rsid w:val="00E22EF8"/>
    <w:rsid w:val="00E269E2"/>
    <w:rsid w:val="00E327B4"/>
    <w:rsid w:val="00E331BE"/>
    <w:rsid w:val="00E341E3"/>
    <w:rsid w:val="00E34236"/>
    <w:rsid w:val="00E41C1C"/>
    <w:rsid w:val="00E47EAA"/>
    <w:rsid w:val="00E52235"/>
    <w:rsid w:val="00E573AD"/>
    <w:rsid w:val="00E6122B"/>
    <w:rsid w:val="00E62BE5"/>
    <w:rsid w:val="00E71E02"/>
    <w:rsid w:val="00E76C28"/>
    <w:rsid w:val="00E7720A"/>
    <w:rsid w:val="00E82398"/>
    <w:rsid w:val="00E83906"/>
    <w:rsid w:val="00E87322"/>
    <w:rsid w:val="00E91196"/>
    <w:rsid w:val="00E95C0E"/>
    <w:rsid w:val="00E95EF5"/>
    <w:rsid w:val="00E96526"/>
    <w:rsid w:val="00EA7D00"/>
    <w:rsid w:val="00EB4681"/>
    <w:rsid w:val="00EB5BBB"/>
    <w:rsid w:val="00EC16A1"/>
    <w:rsid w:val="00EC57EC"/>
    <w:rsid w:val="00ED623A"/>
    <w:rsid w:val="00EE07E3"/>
    <w:rsid w:val="00EE23B7"/>
    <w:rsid w:val="00EE2F9E"/>
    <w:rsid w:val="00EF559D"/>
    <w:rsid w:val="00F106DF"/>
    <w:rsid w:val="00F14809"/>
    <w:rsid w:val="00F2310E"/>
    <w:rsid w:val="00F247C6"/>
    <w:rsid w:val="00F26352"/>
    <w:rsid w:val="00F3101E"/>
    <w:rsid w:val="00F3712A"/>
    <w:rsid w:val="00F443D3"/>
    <w:rsid w:val="00F53611"/>
    <w:rsid w:val="00F56908"/>
    <w:rsid w:val="00F63A6E"/>
    <w:rsid w:val="00F650A8"/>
    <w:rsid w:val="00F7066F"/>
    <w:rsid w:val="00F711CD"/>
    <w:rsid w:val="00F73DBA"/>
    <w:rsid w:val="00F80DB6"/>
    <w:rsid w:val="00F825FB"/>
    <w:rsid w:val="00F83C81"/>
    <w:rsid w:val="00F86F6B"/>
    <w:rsid w:val="00F9002F"/>
    <w:rsid w:val="00F90248"/>
    <w:rsid w:val="00F91344"/>
    <w:rsid w:val="00F95DC6"/>
    <w:rsid w:val="00F96C15"/>
    <w:rsid w:val="00FA25F3"/>
    <w:rsid w:val="00FA3E01"/>
    <w:rsid w:val="00FB663E"/>
    <w:rsid w:val="00FC2EB2"/>
    <w:rsid w:val="00FC5B4E"/>
    <w:rsid w:val="00FD27AC"/>
    <w:rsid w:val="00FD3A22"/>
    <w:rsid w:val="00FD58D4"/>
    <w:rsid w:val="00FD7062"/>
    <w:rsid w:val="00FE5CBD"/>
    <w:rsid w:val="00FE7A9E"/>
    <w:rsid w:val="00FF1E7D"/>
    <w:rsid w:val="00FF21AE"/>
    <w:rsid w:val="00FF3BBB"/>
    <w:rsid w:val="00FF4941"/>
    <w:rsid w:val="06A25465"/>
    <w:rsid w:val="08606F9C"/>
    <w:rsid w:val="08FA1588"/>
    <w:rsid w:val="09E1061D"/>
    <w:rsid w:val="0ADA0EC6"/>
    <w:rsid w:val="0B3D750A"/>
    <w:rsid w:val="0B966D72"/>
    <w:rsid w:val="0C590374"/>
    <w:rsid w:val="0E2A6E06"/>
    <w:rsid w:val="0E3B6A06"/>
    <w:rsid w:val="0F53677B"/>
    <w:rsid w:val="107E516D"/>
    <w:rsid w:val="11573C86"/>
    <w:rsid w:val="133A4E27"/>
    <w:rsid w:val="137167EA"/>
    <w:rsid w:val="139A1D2C"/>
    <w:rsid w:val="14200447"/>
    <w:rsid w:val="143831EE"/>
    <w:rsid w:val="16101043"/>
    <w:rsid w:val="172326B8"/>
    <w:rsid w:val="172B1220"/>
    <w:rsid w:val="173715A0"/>
    <w:rsid w:val="18C737BE"/>
    <w:rsid w:val="191D32AB"/>
    <w:rsid w:val="1C055E22"/>
    <w:rsid w:val="1EA146F0"/>
    <w:rsid w:val="1EAF4867"/>
    <w:rsid w:val="205E428C"/>
    <w:rsid w:val="20934080"/>
    <w:rsid w:val="20CA26BD"/>
    <w:rsid w:val="21AA177F"/>
    <w:rsid w:val="28025079"/>
    <w:rsid w:val="2B6C3A13"/>
    <w:rsid w:val="2EB7317B"/>
    <w:rsid w:val="2F2E4DB7"/>
    <w:rsid w:val="2FE51D9B"/>
    <w:rsid w:val="31610391"/>
    <w:rsid w:val="33EA1A14"/>
    <w:rsid w:val="378B2A26"/>
    <w:rsid w:val="39606B10"/>
    <w:rsid w:val="39DD0A76"/>
    <w:rsid w:val="3A3F48C3"/>
    <w:rsid w:val="3C3F302E"/>
    <w:rsid w:val="3ED57566"/>
    <w:rsid w:val="45321187"/>
    <w:rsid w:val="46DC7DE2"/>
    <w:rsid w:val="47E1541D"/>
    <w:rsid w:val="49EF6D33"/>
    <w:rsid w:val="4B426455"/>
    <w:rsid w:val="4E071EBC"/>
    <w:rsid w:val="4E1D77EC"/>
    <w:rsid w:val="51F97127"/>
    <w:rsid w:val="564D01C1"/>
    <w:rsid w:val="58132904"/>
    <w:rsid w:val="5A3830DC"/>
    <w:rsid w:val="5BD83691"/>
    <w:rsid w:val="5D852400"/>
    <w:rsid w:val="5E0A0F5A"/>
    <w:rsid w:val="60402552"/>
    <w:rsid w:val="60973C1C"/>
    <w:rsid w:val="64B878FF"/>
    <w:rsid w:val="74602F12"/>
    <w:rsid w:val="747E6469"/>
    <w:rsid w:val="768F6D83"/>
    <w:rsid w:val="77A70986"/>
    <w:rsid w:val="7A1F670E"/>
    <w:rsid w:val="7BFA03FD"/>
    <w:rsid w:val="7EFE4CA4"/>
    <w:rsid w:val="F5D6BC1A"/>
    <w:rsid w:val="FEFF44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nhideWhenUsed="0" w:uiPriority="0" w:name="toc 1"/>
    <w:lsdException w:qFormat="1"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link w:val="4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index 6"/>
    <w:basedOn w:val="1"/>
    <w:next w:val="1"/>
    <w:qFormat/>
    <w:uiPriority w:val="0"/>
    <w:rPr>
      <w:rFonts w:ascii="宋体" w:hAnsi="宋体"/>
      <w:color w:val="000000" w:themeColor="text1"/>
      <w:sz w:val="20"/>
      <w:szCs w:val="20"/>
      <w14:textFill>
        <w14:solidFill>
          <w14:schemeClr w14:val="tx1"/>
        </w14:solidFill>
      </w14:textFill>
    </w:rPr>
  </w:style>
  <w:style w:type="paragraph" w:styleId="4">
    <w:name w:val="annotation text"/>
    <w:basedOn w:val="1"/>
    <w:link w:val="31"/>
    <w:qFormat/>
    <w:uiPriority w:val="0"/>
    <w:pPr>
      <w:jc w:val="left"/>
    </w:pPr>
    <w:rPr>
      <w:rFonts w:asciiTheme="minorHAnsi" w:hAnsiTheme="minorHAnsi" w:eastAsiaTheme="minorEastAsia" w:cstheme="minorBidi"/>
      <w:szCs w:val="22"/>
    </w:rPr>
  </w:style>
  <w:style w:type="paragraph" w:styleId="5">
    <w:name w:val="Body Text"/>
    <w:basedOn w:val="1"/>
    <w:next w:val="6"/>
    <w:link w:val="40"/>
    <w:qFormat/>
    <w:uiPriority w:val="0"/>
    <w:rPr>
      <w:rFonts w:ascii="仿宋_GB2312" w:eastAsia="仿宋_GB2312"/>
      <w:sz w:val="32"/>
    </w:rPr>
  </w:style>
  <w:style w:type="paragraph" w:customStyle="1" w:styleId="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7">
    <w:name w:val="Body Text Indent"/>
    <w:basedOn w:val="1"/>
    <w:link w:val="37"/>
    <w:qFormat/>
    <w:uiPriority w:val="0"/>
    <w:pPr>
      <w:spacing w:after="120"/>
      <w:ind w:left="420" w:leftChars="200"/>
    </w:pPr>
  </w:style>
  <w:style w:type="paragraph" w:styleId="8">
    <w:name w:val="Plain Text"/>
    <w:basedOn w:val="1"/>
    <w:link w:val="33"/>
    <w:qFormat/>
    <w:uiPriority w:val="99"/>
    <w:rPr>
      <w:rFonts w:ascii="宋体" w:hAnsi="Courier New" w:cstheme="minorBidi"/>
      <w:szCs w:val="22"/>
    </w:rPr>
  </w:style>
  <w:style w:type="paragraph" w:styleId="9">
    <w:name w:val="Balloon Text"/>
    <w:basedOn w:val="1"/>
    <w:link w:val="27"/>
    <w:qFormat/>
    <w:uiPriority w:val="0"/>
    <w:rPr>
      <w:rFonts w:asciiTheme="minorHAnsi" w:hAnsiTheme="minorHAnsi" w:eastAsiaTheme="minorEastAsia" w:cstheme="minorBidi"/>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semiHidden/>
    <w:qFormat/>
    <w:uiPriority w:val="0"/>
    <w:pPr>
      <w:spacing w:line="360" w:lineRule="auto"/>
      <w:jc w:val="left"/>
    </w:pPr>
    <w:rPr>
      <w:rFonts w:ascii="宋体" w:hAnsi="宋体"/>
      <w:b/>
      <w:caps/>
      <w:color w:val="FF0000"/>
      <w:szCs w:val="21"/>
    </w:rPr>
  </w:style>
  <w:style w:type="paragraph" w:styleId="13">
    <w:name w:val="toc 2"/>
    <w:basedOn w:val="1"/>
    <w:next w:val="1"/>
    <w:unhideWhenUsed/>
    <w:qFormat/>
    <w:uiPriority w:val="0"/>
    <w:pPr>
      <w:ind w:left="420" w:leftChars="200"/>
    </w:pPr>
  </w:style>
  <w:style w:type="paragraph" w:styleId="14">
    <w:name w:val="Normal (Web)"/>
    <w:basedOn w:val="1"/>
    <w:qFormat/>
    <w:uiPriority w:val="99"/>
    <w:pPr>
      <w:jc w:val="left"/>
    </w:pPr>
    <w:rPr>
      <w:rFonts w:ascii="Calibri" w:hAnsi="Calibri"/>
      <w:kern w:val="0"/>
      <w:sz w:val="24"/>
      <w:szCs w:val="24"/>
    </w:rPr>
  </w:style>
  <w:style w:type="paragraph" w:styleId="15">
    <w:name w:val="annotation subject"/>
    <w:basedOn w:val="4"/>
    <w:next w:val="4"/>
    <w:link w:val="30"/>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character" w:styleId="20">
    <w:name w:val="page number"/>
    <w:basedOn w:val="18"/>
    <w:qFormat/>
    <w:uiPriority w:val="0"/>
  </w:style>
  <w:style w:type="character" w:styleId="21">
    <w:name w:val="FollowedHyperlink"/>
    <w:basedOn w:val="18"/>
    <w:qFormat/>
    <w:uiPriority w:val="0"/>
    <w:rPr>
      <w:color w:val="800080"/>
      <w:u w:val="single"/>
    </w:rPr>
  </w:style>
  <w:style w:type="character" w:styleId="22">
    <w:name w:val="Hyperlink"/>
    <w:basedOn w:val="18"/>
    <w:semiHidden/>
    <w:qFormat/>
    <w:uiPriority w:val="0"/>
    <w:rPr>
      <w:rFonts w:cs="Times New Roman"/>
      <w:color w:val="1F4F88"/>
      <w:u w:val="none"/>
    </w:rPr>
  </w:style>
  <w:style w:type="character" w:styleId="23">
    <w:name w:val="annotation reference"/>
    <w:basedOn w:val="18"/>
    <w:qFormat/>
    <w:uiPriority w:val="0"/>
    <w:rPr>
      <w:sz w:val="21"/>
      <w:szCs w:val="21"/>
    </w:rPr>
  </w:style>
  <w:style w:type="character" w:customStyle="1" w:styleId="24">
    <w:name w:val="页眉 字符"/>
    <w:basedOn w:val="18"/>
    <w:link w:val="11"/>
    <w:qFormat/>
    <w:uiPriority w:val="0"/>
    <w:rPr>
      <w:sz w:val="18"/>
      <w:szCs w:val="18"/>
    </w:rPr>
  </w:style>
  <w:style w:type="character" w:customStyle="1" w:styleId="25">
    <w:name w:val="页脚 字符"/>
    <w:basedOn w:val="18"/>
    <w:link w:val="10"/>
    <w:qFormat/>
    <w:uiPriority w:val="99"/>
    <w:rPr>
      <w:sz w:val="18"/>
      <w:szCs w:val="18"/>
    </w:rPr>
  </w:style>
  <w:style w:type="character" w:customStyle="1" w:styleId="26">
    <w:name w:val="Char Char5"/>
    <w:qFormat/>
    <w:uiPriority w:val="0"/>
    <w:rPr>
      <w:rFonts w:ascii="宋体" w:hAnsi="Courier New" w:eastAsia="宋体"/>
      <w:kern w:val="2"/>
      <w:sz w:val="21"/>
      <w:lang w:val="en-US" w:eastAsia="zh-CN" w:bidi="ar-SA"/>
    </w:rPr>
  </w:style>
  <w:style w:type="character" w:customStyle="1" w:styleId="27">
    <w:name w:val="批注框文本 字符"/>
    <w:link w:val="9"/>
    <w:qFormat/>
    <w:uiPriority w:val="0"/>
    <w:rPr>
      <w:sz w:val="18"/>
      <w:szCs w:val="18"/>
    </w:rPr>
  </w:style>
  <w:style w:type="character" w:customStyle="1" w:styleId="28">
    <w:name w:val="纯文本 Char"/>
    <w:qFormat/>
    <w:uiPriority w:val="0"/>
    <w:rPr>
      <w:rFonts w:ascii="宋体" w:hAnsi="Courier New" w:eastAsia="宋体"/>
      <w:kern w:val="2"/>
      <w:sz w:val="21"/>
      <w:lang w:val="en-US" w:eastAsia="zh-CN" w:bidi="ar-SA"/>
    </w:rPr>
  </w:style>
  <w:style w:type="character" w:customStyle="1" w:styleId="29">
    <w:name w:val="Char Char3"/>
    <w:qFormat/>
    <w:uiPriority w:val="0"/>
    <w:rPr>
      <w:rFonts w:ascii="宋体" w:hAnsi="Courier New" w:eastAsia="宋体"/>
      <w:kern w:val="2"/>
      <w:sz w:val="21"/>
      <w:lang w:val="en-US" w:eastAsia="zh-CN" w:bidi="ar-SA"/>
    </w:rPr>
  </w:style>
  <w:style w:type="character" w:customStyle="1" w:styleId="30">
    <w:name w:val="批注主题 字符"/>
    <w:basedOn w:val="31"/>
    <w:link w:val="15"/>
    <w:qFormat/>
    <w:uiPriority w:val="0"/>
    <w:rPr>
      <w:b/>
      <w:bCs/>
    </w:rPr>
  </w:style>
  <w:style w:type="character" w:customStyle="1" w:styleId="31">
    <w:name w:val="批注文字 字符"/>
    <w:basedOn w:val="18"/>
    <w:link w:val="4"/>
    <w:qFormat/>
    <w:uiPriority w:val="0"/>
  </w:style>
  <w:style w:type="character" w:customStyle="1" w:styleId="32">
    <w:name w:val="HTML Markup"/>
    <w:qFormat/>
    <w:uiPriority w:val="0"/>
    <w:rPr>
      <w:vanish/>
      <w:color w:val="FF0000"/>
    </w:rPr>
  </w:style>
  <w:style w:type="character" w:customStyle="1" w:styleId="33">
    <w:name w:val="纯文本 字符"/>
    <w:link w:val="8"/>
    <w:qFormat/>
    <w:uiPriority w:val="99"/>
    <w:rPr>
      <w:rFonts w:ascii="宋体" w:hAnsi="Courier New" w:eastAsia="宋体"/>
    </w:rPr>
  </w:style>
  <w:style w:type="character" w:customStyle="1" w:styleId="34">
    <w:name w:val="Char Char2"/>
    <w:qFormat/>
    <w:uiPriority w:val="0"/>
    <w:rPr>
      <w:rFonts w:ascii="宋体" w:hAnsi="Courier New" w:cs="宋体"/>
      <w:kern w:val="2"/>
      <w:sz w:val="21"/>
      <w:szCs w:val="21"/>
    </w:rPr>
  </w:style>
  <w:style w:type="character" w:customStyle="1" w:styleId="35">
    <w:name w:val="apple-converted-space"/>
    <w:basedOn w:val="18"/>
    <w:qFormat/>
    <w:uiPriority w:val="0"/>
  </w:style>
  <w:style w:type="character" w:customStyle="1" w:styleId="36">
    <w:name w:val="批注文字 Char1"/>
    <w:basedOn w:val="18"/>
    <w:semiHidden/>
    <w:qFormat/>
    <w:uiPriority w:val="99"/>
    <w:rPr>
      <w:rFonts w:ascii="Times New Roman" w:hAnsi="Times New Roman" w:eastAsia="宋体" w:cs="Times New Roman"/>
      <w:szCs w:val="20"/>
    </w:rPr>
  </w:style>
  <w:style w:type="character" w:customStyle="1" w:styleId="37">
    <w:name w:val="正文文本缩进 字符"/>
    <w:basedOn w:val="18"/>
    <w:link w:val="7"/>
    <w:qFormat/>
    <w:uiPriority w:val="0"/>
    <w:rPr>
      <w:rFonts w:ascii="Times New Roman" w:hAnsi="Times New Roman" w:eastAsia="宋体" w:cs="Times New Roman"/>
      <w:szCs w:val="20"/>
    </w:rPr>
  </w:style>
  <w:style w:type="character" w:customStyle="1" w:styleId="38">
    <w:name w:val="纯文本 Char2"/>
    <w:basedOn w:val="18"/>
    <w:semiHidden/>
    <w:qFormat/>
    <w:uiPriority w:val="99"/>
    <w:rPr>
      <w:rFonts w:ascii="宋体" w:hAnsi="Courier New" w:eastAsia="宋体" w:cs="Courier New"/>
      <w:szCs w:val="21"/>
    </w:rPr>
  </w:style>
  <w:style w:type="character" w:customStyle="1" w:styleId="39">
    <w:name w:val="批注主题 Char1"/>
    <w:basedOn w:val="36"/>
    <w:semiHidden/>
    <w:qFormat/>
    <w:uiPriority w:val="99"/>
    <w:rPr>
      <w:rFonts w:ascii="Times New Roman" w:hAnsi="Times New Roman" w:eastAsia="宋体" w:cs="Times New Roman"/>
      <w:b/>
      <w:bCs/>
      <w:szCs w:val="20"/>
    </w:rPr>
  </w:style>
  <w:style w:type="character" w:customStyle="1" w:styleId="40">
    <w:name w:val="正文文本 字符"/>
    <w:basedOn w:val="18"/>
    <w:link w:val="5"/>
    <w:qFormat/>
    <w:uiPriority w:val="0"/>
    <w:rPr>
      <w:rFonts w:ascii="仿宋_GB2312" w:hAnsi="Times New Roman" w:eastAsia="仿宋_GB2312" w:cs="Times New Roman"/>
      <w:sz w:val="32"/>
      <w:szCs w:val="20"/>
    </w:rPr>
  </w:style>
  <w:style w:type="character" w:customStyle="1" w:styleId="41">
    <w:name w:val="批注框文本 Char1"/>
    <w:basedOn w:val="18"/>
    <w:semiHidden/>
    <w:qFormat/>
    <w:uiPriority w:val="99"/>
    <w:rPr>
      <w:rFonts w:ascii="Times New Roman" w:hAnsi="Times New Roman" w:eastAsia="宋体" w:cs="Times New Roman"/>
      <w:sz w:val="18"/>
      <w:szCs w:val="18"/>
    </w:rPr>
  </w:style>
  <w:style w:type="paragraph" w:customStyle="1" w:styleId="42">
    <w:name w:val="1"/>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43">
    <w:name w:val="2"/>
    <w:basedOn w:val="1"/>
    <w:qFormat/>
    <w:uiPriority w:val="0"/>
    <w:pPr>
      <w:widowControl/>
      <w:spacing w:after="160" w:line="240" w:lineRule="exact"/>
      <w:jc w:val="left"/>
    </w:pPr>
    <w:rPr>
      <w:rFonts w:ascii="Arial" w:hAnsi="Arial" w:eastAsia="Times New Roman" w:cs="Verdana"/>
      <w:b/>
      <w:kern w:val="0"/>
      <w:sz w:val="24"/>
      <w:szCs w:val="24"/>
      <w:lang w:eastAsia="en-US" w:bidi="th-TH"/>
    </w:rPr>
  </w:style>
  <w:style w:type="paragraph" w:customStyle="1" w:styleId="44">
    <w:name w:val="Char Char Char Char Char Char1 Char"/>
    <w:basedOn w:val="1"/>
    <w:qFormat/>
    <w:uiPriority w:val="0"/>
    <w:pPr>
      <w:widowControl/>
      <w:spacing w:after="160" w:line="240" w:lineRule="exact"/>
      <w:jc w:val="left"/>
    </w:pPr>
    <w:rPr>
      <w:rFonts w:ascii="Arial" w:hAnsi="Arial" w:eastAsia="Times New Roman" w:cs="Verdana"/>
      <w:b/>
      <w:kern w:val="0"/>
      <w:sz w:val="24"/>
      <w:szCs w:val="24"/>
      <w:lang w:eastAsia="en-US" w:bidi="th-TH"/>
    </w:rPr>
  </w:style>
  <w:style w:type="paragraph" w:customStyle="1" w:styleId="45">
    <w:name w:val="二级列表 Char"/>
    <w:basedOn w:val="1"/>
    <w:qFormat/>
    <w:uiPriority w:val="0"/>
    <w:rPr>
      <w:rFonts w:ascii="Calibri" w:hAnsi="Calibri"/>
    </w:rPr>
  </w:style>
  <w:style w:type="paragraph" w:customStyle="1" w:styleId="46">
    <w:name w:val="列出段落1"/>
    <w:basedOn w:val="1"/>
    <w:qFormat/>
    <w:uiPriority w:val="0"/>
    <w:pPr>
      <w:ind w:firstLine="420" w:firstLineChars="200"/>
    </w:pPr>
    <w:rPr>
      <w:rFonts w:ascii="Calibri" w:hAnsi="Calibri"/>
      <w:szCs w:val="22"/>
    </w:rPr>
  </w:style>
  <w:style w:type="paragraph" w:customStyle="1" w:styleId="47">
    <w:name w:val="hd2"/>
    <w:basedOn w:val="1"/>
    <w:qFormat/>
    <w:uiPriority w:val="0"/>
    <w:pPr>
      <w:autoSpaceDE w:val="0"/>
      <w:autoSpaceDN w:val="0"/>
      <w:spacing w:line="360" w:lineRule="atLeast"/>
      <w:ind w:left="1418" w:right="550" w:hanging="709"/>
      <w:jc w:val="left"/>
    </w:pPr>
    <w:rPr>
      <w:kern w:val="0"/>
      <w:sz w:val="26"/>
      <w:szCs w:val="26"/>
    </w:rPr>
  </w:style>
  <w:style w:type="paragraph" w:customStyle="1" w:styleId="48">
    <w:name w:val="列表段落1"/>
    <w:basedOn w:val="1"/>
    <w:qFormat/>
    <w:uiPriority w:val="34"/>
    <w:pPr>
      <w:ind w:firstLine="420" w:firstLineChars="200"/>
    </w:pPr>
  </w:style>
  <w:style w:type="character" w:customStyle="1" w:styleId="49">
    <w:name w:val="标题 3 字符"/>
    <w:basedOn w:val="18"/>
    <w:link w:val="3"/>
    <w:qFormat/>
    <w:uiPriority w:val="9"/>
    <w:rPr>
      <w:rFonts w:ascii="宋体" w:hAnsi="宋体" w:cs="宋体"/>
      <w:b/>
      <w:bCs/>
      <w:sz w:val="27"/>
      <w:szCs w:val="27"/>
    </w:rPr>
  </w:style>
  <w:style w:type="character" w:customStyle="1" w:styleId="50">
    <w:name w:val="纯文本 字符1"/>
    <w:qFormat/>
    <w:uiPriority w:val="0"/>
    <w:rPr>
      <w:rFonts w:ascii="宋体" w:hAnsi="Courier New"/>
      <w:kern w:val="2"/>
      <w:sz w:val="21"/>
    </w:rPr>
  </w:style>
  <w:style w:type="paragraph" w:customStyle="1" w:styleId="51">
    <w:name w:val="正文 A"/>
    <w:qFormat/>
    <w:uiPriority w:val="0"/>
    <w:pPr>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styleId="52">
    <w:name w:val="List Paragraph"/>
    <w:basedOn w:val="1"/>
    <w:qFormat/>
    <w:uiPriority w:val="99"/>
    <w:pPr>
      <w:ind w:firstLine="420" w:firstLineChars="200"/>
    </w:pPr>
  </w:style>
  <w:style w:type="paragraph" w:customStyle="1" w:styleId="53">
    <w:name w:val="Char Char Char Char Char Char"/>
    <w:basedOn w:val="1"/>
    <w:qFormat/>
    <w:uiPriority w:val="0"/>
    <w:pPr>
      <w:widowControl/>
      <w:spacing w:after="160" w:line="240" w:lineRule="exact"/>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10</Pages>
  <Words>3949</Words>
  <Characters>4120</Characters>
  <Lines>36</Lines>
  <Paragraphs>10</Paragraphs>
  <TotalTime>16</TotalTime>
  <ScaleCrop>false</ScaleCrop>
  <LinksUpToDate>false</LinksUpToDate>
  <CharactersWithSpaces>4600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2019-06-05T13:42:00Z</dcterms:created>
  <dc:creator>子辰培训</dc:creator>
  <cp:lastModifiedBy>于洋</cp:lastModifiedBy>
  <cp:lastPrinted>2022-06-02T00:44:00Z</cp:lastPrinted>
  <dcterms:modified xsi:type="dcterms:W3CDTF">2024-04-16T07:23:27Z</dcterms:modified>
  <cp:revision>754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0D8901E65D2645D58DC791E825A14255</vt:lpwstr>
  </property>
</Properties>
</file>