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val="en-US" w:eastAsia="zh-CN"/>
        </w:rPr>
      </w:pPr>
    </w:p>
    <w:p>
      <w:pPr>
        <w:jc w:val="center"/>
        <w:rPr>
          <w:rFonts w:hint="eastAsia"/>
          <w:sz w:val="48"/>
          <w:szCs w:val="48"/>
          <w:lang w:val="en-US" w:eastAsia="zh-CN"/>
        </w:rPr>
      </w:pPr>
      <w:r>
        <w:rPr>
          <w:rFonts w:hint="eastAsia"/>
          <w:sz w:val="48"/>
          <w:szCs w:val="48"/>
          <w:lang w:val="en-US" w:eastAsia="zh-CN"/>
        </w:rPr>
        <w:t>中国重型汽车集团驻济相关单位</w:t>
      </w:r>
    </w:p>
    <w:p>
      <w:pPr>
        <w:jc w:val="center"/>
        <w:rPr>
          <w:rFonts w:hint="eastAsia"/>
          <w:sz w:val="48"/>
          <w:szCs w:val="48"/>
        </w:rPr>
      </w:pPr>
      <w:r>
        <w:rPr>
          <w:rFonts w:hint="eastAsia"/>
          <w:sz w:val="48"/>
          <w:szCs w:val="48"/>
          <w:lang w:val="en-US" w:eastAsia="zh-CN"/>
        </w:rPr>
        <w:t>安全生产</w:t>
      </w:r>
      <w:r>
        <w:rPr>
          <w:rFonts w:hint="eastAsia"/>
          <w:sz w:val="48"/>
          <w:szCs w:val="48"/>
        </w:rPr>
        <w:t>类培训服务项目</w:t>
      </w:r>
    </w:p>
    <w:p>
      <w:pPr>
        <w:jc w:val="center"/>
        <w:rPr>
          <w:rFonts w:hint="eastAsia"/>
          <w:sz w:val="48"/>
          <w:szCs w:val="48"/>
        </w:rPr>
      </w:pPr>
    </w:p>
    <w:p>
      <w:pPr>
        <w:jc w:val="center"/>
        <w:rPr>
          <w:rFonts w:hint="eastAsia"/>
          <w:sz w:val="48"/>
          <w:szCs w:val="48"/>
        </w:rPr>
      </w:pPr>
    </w:p>
    <w:p>
      <w:pPr>
        <w:jc w:val="center"/>
        <w:rPr>
          <w:rFonts w:hint="eastAsia" w:ascii="黑体" w:hAnsi="宋体" w:eastAsia="黑体"/>
          <w:sz w:val="84"/>
          <w:szCs w:val="84"/>
        </w:rPr>
      </w:pPr>
      <w:r>
        <w:rPr>
          <w:rFonts w:hint="eastAsia" w:ascii="黑体" w:hAnsi="宋体" w:eastAsia="黑体"/>
          <w:sz w:val="84"/>
          <w:szCs w:val="84"/>
        </w:rPr>
        <w:t>招</w:t>
      </w:r>
    </w:p>
    <w:p>
      <w:pPr>
        <w:jc w:val="center"/>
        <w:rPr>
          <w:rFonts w:hint="eastAsia" w:ascii="黑体" w:hAnsi="宋体" w:eastAsia="黑体"/>
          <w:sz w:val="84"/>
          <w:szCs w:val="84"/>
        </w:rPr>
      </w:pPr>
    </w:p>
    <w:p>
      <w:pPr>
        <w:jc w:val="center"/>
        <w:rPr>
          <w:rFonts w:hint="eastAsia" w:ascii="黑体" w:hAnsi="宋体" w:eastAsia="黑体"/>
          <w:sz w:val="84"/>
          <w:szCs w:val="84"/>
        </w:rPr>
      </w:pPr>
      <w:r>
        <w:rPr>
          <w:rFonts w:hint="eastAsia" w:ascii="黑体" w:hAnsi="宋体" w:eastAsia="黑体"/>
          <w:sz w:val="84"/>
          <w:szCs w:val="84"/>
        </w:rPr>
        <w:t>标</w:t>
      </w:r>
    </w:p>
    <w:p>
      <w:pPr>
        <w:jc w:val="center"/>
        <w:rPr>
          <w:rFonts w:hint="eastAsia" w:ascii="黑体" w:hAnsi="宋体" w:eastAsia="黑体"/>
          <w:sz w:val="84"/>
          <w:szCs w:val="84"/>
        </w:rPr>
      </w:pPr>
    </w:p>
    <w:p>
      <w:pPr>
        <w:jc w:val="center"/>
        <w:rPr>
          <w:rFonts w:hint="eastAsia" w:ascii="宋体" w:hAnsi="宋体"/>
          <w:sz w:val="72"/>
          <w:szCs w:val="72"/>
        </w:rPr>
      </w:pPr>
      <w:r>
        <w:rPr>
          <w:rFonts w:hint="eastAsia" w:ascii="黑体" w:hAnsi="宋体" w:eastAsia="黑体"/>
          <w:sz w:val="84"/>
          <w:szCs w:val="84"/>
        </w:rPr>
        <w:t>书</w:t>
      </w:r>
    </w:p>
    <w:p>
      <w:pPr>
        <w:jc w:val="center"/>
        <w:rPr>
          <w:rFonts w:hint="eastAsia" w:ascii="宋体" w:hAnsi="宋体"/>
          <w:sz w:val="48"/>
          <w:szCs w:val="48"/>
        </w:rPr>
      </w:pPr>
    </w:p>
    <w:p>
      <w:pPr>
        <w:jc w:val="center"/>
        <w:rPr>
          <w:rFonts w:hint="eastAsia" w:ascii="宋体" w:hAnsi="宋体"/>
          <w:sz w:val="28"/>
          <w:szCs w:val="28"/>
        </w:rPr>
      </w:pPr>
    </w:p>
    <w:p>
      <w:pPr>
        <w:jc w:val="center"/>
        <w:rPr>
          <w:rFonts w:hint="eastAsia" w:ascii="宋体" w:hAnsi="宋体"/>
          <w:sz w:val="28"/>
          <w:szCs w:val="28"/>
        </w:rPr>
      </w:pPr>
      <w:r>
        <w:rPr>
          <w:rFonts w:hint="eastAsia" w:ascii="宋体" w:hAnsi="宋体"/>
          <w:sz w:val="28"/>
          <w:szCs w:val="28"/>
        </w:rPr>
        <w:t>招 标 人：中国重型汽车集团有限公司</w:t>
      </w:r>
    </w:p>
    <w:p>
      <w:pPr>
        <w:jc w:val="center"/>
        <w:rPr>
          <w:rFonts w:hint="eastAsia" w:ascii="宋体" w:hAnsi="宋体"/>
          <w:sz w:val="28"/>
          <w:szCs w:val="28"/>
          <w:u w:val="single"/>
        </w:rPr>
      </w:pPr>
      <w:r>
        <w:rPr>
          <w:rFonts w:hint="eastAsia" w:ascii="宋体" w:hAnsi="宋体"/>
          <w:sz w:val="28"/>
          <w:szCs w:val="28"/>
          <w:u w:val="single"/>
        </w:rPr>
        <w:t xml:space="preserve"> 202</w:t>
      </w:r>
      <w:r>
        <w:rPr>
          <w:rFonts w:hint="eastAsia" w:ascii="宋体" w:hAnsi="宋体"/>
          <w:sz w:val="28"/>
          <w:szCs w:val="28"/>
          <w:u w:val="single"/>
          <w:lang w:val="en-US" w:eastAsia="zh-CN"/>
        </w:rPr>
        <w:t>4</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 xml:space="preserve">月 </w:t>
      </w:r>
    </w:p>
    <w:p>
      <w:pPr>
        <w:jc w:val="center"/>
        <w:rPr>
          <w:rFonts w:hint="eastAsia"/>
          <w:sz w:val="48"/>
          <w:szCs w:val="48"/>
        </w:rPr>
      </w:pPr>
    </w:p>
    <w:p>
      <w:pPr>
        <w:jc w:val="center"/>
        <w:rPr>
          <w:rFonts w:hint="eastAsia"/>
          <w:sz w:val="48"/>
          <w:szCs w:val="48"/>
        </w:rPr>
      </w:pPr>
    </w:p>
    <w:p>
      <w:pPr>
        <w:jc w:val="center"/>
        <w:rPr>
          <w:rFonts w:hint="eastAsia"/>
          <w:sz w:val="48"/>
          <w:szCs w:val="48"/>
        </w:rPr>
      </w:pPr>
    </w:p>
    <w:p>
      <w:pPr>
        <w:spacing w:line="480" w:lineRule="auto"/>
        <w:jc w:val="center"/>
        <w:rPr>
          <w:rFonts w:hint="eastAsia" w:ascii="宋体" w:hAnsi="宋体"/>
          <w:b/>
          <w:bCs/>
          <w:sz w:val="48"/>
          <w:szCs w:val="48"/>
        </w:rPr>
      </w:pPr>
      <w:r>
        <w:rPr>
          <w:rFonts w:ascii="宋体" w:hAnsi="宋体"/>
          <w:b/>
          <w:bCs/>
          <w:sz w:val="48"/>
          <w:szCs w:val="48"/>
        </w:rPr>
        <w:t>目   录</w:t>
      </w:r>
    </w:p>
    <w:p>
      <w:pPr>
        <w:tabs>
          <w:tab w:val="left" w:pos="3240"/>
        </w:tabs>
        <w:spacing w:line="480" w:lineRule="auto"/>
        <w:rPr>
          <w:rFonts w:hint="eastAsia" w:ascii="宋体" w:hAnsi="宋体"/>
          <w:b/>
          <w:bCs/>
          <w:sz w:val="24"/>
        </w:rPr>
      </w:pPr>
      <w:r>
        <w:rPr>
          <w:rFonts w:ascii="宋体" w:hAnsi="宋体"/>
          <w:b/>
          <w:bCs/>
          <w:sz w:val="24"/>
        </w:rPr>
        <w:tab/>
      </w:r>
    </w:p>
    <w:p>
      <w:pPr>
        <w:pStyle w:val="7"/>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1"/>
          <w:rFonts w:ascii="黑体" w:eastAsia="黑体"/>
          <w:bCs/>
        </w:rPr>
        <w:t xml:space="preserve">第一章  </w:t>
      </w:r>
      <w:r>
        <w:rPr>
          <w:rStyle w:val="11"/>
          <w:rFonts w:hint="eastAsia" w:ascii="黑体" w:eastAsia="黑体"/>
          <w:bCs/>
          <w:lang w:eastAsia="zh-CN"/>
        </w:rPr>
        <w:t>招标公告</w:t>
      </w:r>
      <w:r>
        <w:tab/>
      </w:r>
      <w:r>
        <w:fldChar w:fldCharType="end"/>
      </w:r>
    </w:p>
    <w:p>
      <w:pPr>
        <w:pStyle w:val="7"/>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1"/>
          <w:rFonts w:ascii="黑体" w:eastAsia="黑体"/>
          <w:bCs/>
        </w:rPr>
        <w:t>第二章  投标人须知</w:t>
      </w:r>
      <w:r>
        <w:tab/>
      </w:r>
      <w:r>
        <w:fldChar w:fldCharType="end"/>
      </w:r>
    </w:p>
    <w:p>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"_Toc35956344" </w:instrText>
      </w:r>
      <w:r>
        <w:rPr>
          <w:highlight w:val="none"/>
        </w:rPr>
        <w:fldChar w:fldCharType="separate"/>
      </w:r>
      <w:r>
        <w:rPr>
          <w:rStyle w:val="11"/>
          <w:rFonts w:eastAsia="黑体"/>
          <w:bCs/>
          <w:highlight w:val="none"/>
        </w:rPr>
        <w:t>第三章  投标文件编制</w:t>
      </w:r>
      <w:r>
        <w:rPr>
          <w:highlight w:val="none"/>
        </w:rPr>
        <w:tab/>
      </w:r>
      <w:r>
        <w:rPr>
          <w:highlight w:val="none"/>
        </w:rPr>
        <w:fldChar w:fldCharType="end"/>
      </w:r>
    </w:p>
    <w:p>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"_Toc35956345" </w:instrText>
      </w:r>
      <w:r>
        <w:rPr>
          <w:highlight w:val="none"/>
        </w:rPr>
        <w:fldChar w:fldCharType="separate"/>
      </w:r>
      <w:r>
        <w:rPr>
          <w:rStyle w:val="11"/>
          <w:rFonts w:ascii="黑体" w:eastAsia="黑体"/>
          <w:bCs/>
          <w:highlight w:val="none"/>
        </w:rPr>
        <w:t>第四章  技术协议书</w:t>
      </w:r>
      <w:r>
        <w:rPr>
          <w:highlight w:val="none"/>
        </w:rPr>
        <w:tab/>
      </w:r>
      <w:r>
        <w:rPr>
          <w:highlight w:val="none"/>
        </w:rPr>
        <w:fldChar w:fldCharType="end"/>
      </w:r>
    </w:p>
    <w:p>
      <w:pPr>
        <w:pStyle w:val="7"/>
        <w:spacing w:before="624" w:beforeLines="200" w:after="624" w:afterLines="200"/>
        <w:rPr>
          <w:rFonts w:ascii="Calibri" w:hAnsi="Calibri"/>
          <w:b w:val="0"/>
          <w:caps w:val="0"/>
          <w:sz w:val="21"/>
          <w:szCs w:val="22"/>
        </w:rPr>
      </w:pPr>
    </w:p>
    <w:p>
      <w:pPr>
        <w:jc w:val="center"/>
        <w:rPr>
          <w:b/>
          <w:bCs/>
          <w:lang w:val="zh-CN"/>
        </w:rPr>
      </w:pPr>
      <w:r>
        <w:rPr>
          <w:b/>
          <w:bCs/>
          <w:lang w:val="zh-CN"/>
        </w:rPr>
        <w:fldChar w:fldCharType="end"/>
      </w: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jc w:val="center"/>
        <w:rPr>
          <w:b/>
          <w:bCs/>
          <w:lang w:val="zh-CN"/>
        </w:rPr>
      </w:pPr>
    </w:p>
    <w:p>
      <w:pPr>
        <w:adjustRightInd w:val="0"/>
        <w:snapToGrid w:val="0"/>
        <w:spacing w:line="360" w:lineRule="auto"/>
        <w:jc w:val="center"/>
        <w:rPr>
          <w:rFonts w:hint="eastAsia" w:ascii="宋体" w:hAnsi="宋体" w:eastAsia="黑体"/>
          <w:b/>
          <w:sz w:val="36"/>
          <w:szCs w:val="36"/>
          <w:lang w:eastAsia="zh-CN"/>
        </w:rPr>
      </w:pPr>
      <w:r>
        <w:rPr>
          <w:rFonts w:hint="eastAsia" w:ascii="黑体" w:eastAsia="黑体"/>
          <w:b/>
          <w:bCs/>
          <w:sz w:val="36"/>
          <w:szCs w:val="36"/>
        </w:rPr>
        <w:t xml:space="preserve">第一章  </w:t>
      </w:r>
      <w:r>
        <w:rPr>
          <w:rFonts w:hint="eastAsia" w:ascii="宋体" w:hAnsi="宋体" w:eastAsia="黑体"/>
          <w:b/>
          <w:sz w:val="36"/>
          <w:szCs w:val="36"/>
          <w:lang w:eastAsia="zh-CN"/>
        </w:rPr>
        <w:t>招标公告</w:t>
      </w:r>
    </w:p>
    <w:p>
      <w:pPr>
        <w:pStyle w:val="5"/>
        <w:spacing w:line="360" w:lineRule="auto"/>
        <w:rPr>
          <w:rFonts w:hint="eastAsia" w:ascii="黑体" w:eastAsia="黑体"/>
          <w:b/>
          <w:bCs/>
          <w:sz w:val="28"/>
        </w:rPr>
      </w:pPr>
      <w:r>
        <w:rPr>
          <w:rFonts w:hint="eastAsia" w:ascii="黑体" w:eastAsia="黑体"/>
          <w:b/>
          <w:bCs/>
          <w:sz w:val="28"/>
        </w:rPr>
        <w:t>一、项目名称</w:t>
      </w:r>
    </w:p>
    <w:p>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rPr>
      </w:pPr>
      <w:r>
        <w:rPr>
          <w:rFonts w:hint="eastAsia" w:ascii="Times New Roman" w:hAnsi="Times New Roman" w:eastAsia="宋体" w:cs="Times New Roman"/>
          <w:szCs w:val="20"/>
        </w:rPr>
        <w:t>项目名称：</w:t>
      </w:r>
      <w:r>
        <w:rPr>
          <w:rFonts w:hint="eastAsia" w:ascii="Times New Roman" w:hAnsi="Times New Roman" w:eastAsia="宋体" w:cs="Times New Roman"/>
          <w:szCs w:val="20"/>
          <w:lang w:val="en-US" w:eastAsia="zh-CN"/>
        </w:rPr>
        <w:t>安全生产</w:t>
      </w:r>
      <w:r>
        <w:rPr>
          <w:rFonts w:hint="eastAsia" w:ascii="Times New Roman" w:hAnsi="Times New Roman" w:eastAsia="宋体" w:cs="Times New Roman"/>
          <w:szCs w:val="20"/>
        </w:rPr>
        <w:t>类培训服务项目</w:t>
      </w:r>
    </w:p>
    <w:p>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项目编号：CGZX2024070121</w:t>
      </w:r>
    </w:p>
    <w:p>
      <w:pPr>
        <w:pStyle w:val="5"/>
        <w:spacing w:line="360" w:lineRule="auto"/>
        <w:rPr>
          <w:rFonts w:hint="eastAsia" w:ascii="黑体" w:eastAsia="黑体"/>
          <w:b/>
          <w:bCs/>
          <w:sz w:val="28"/>
        </w:rPr>
      </w:pPr>
      <w:r>
        <w:rPr>
          <w:rFonts w:hint="eastAsia" w:ascii="黑体" w:eastAsia="黑体"/>
          <w:b/>
          <w:bCs/>
          <w:sz w:val="28"/>
        </w:rPr>
        <w:t>二、</w:t>
      </w:r>
      <w:r>
        <w:rPr>
          <w:rFonts w:hint="eastAsia" w:ascii="黑体" w:eastAsia="黑体"/>
          <w:b/>
          <w:bCs/>
          <w:sz w:val="28"/>
          <w:lang w:val="en-US" w:eastAsia="zh-CN"/>
        </w:rPr>
        <w:t>项目</w:t>
      </w:r>
      <w:r>
        <w:rPr>
          <w:rFonts w:hint="eastAsia" w:ascii="黑体" w:eastAsia="黑体"/>
          <w:b/>
          <w:bCs/>
          <w:sz w:val="28"/>
        </w:rPr>
        <w:t>内容</w:t>
      </w:r>
    </w:p>
    <w:p>
      <w:pPr>
        <w:pStyle w:val="5"/>
        <w:ind w:firstLine="420" w:firstLineChars="200"/>
      </w:pPr>
      <w:r>
        <w:rPr>
          <w:rFonts w:hint="eastAsia"/>
        </w:rPr>
        <w:t>1</w:t>
      </w:r>
      <w:r>
        <w:t>.</w:t>
      </w:r>
      <w:r>
        <w:rPr>
          <w:rFonts w:hint="eastAsia"/>
        </w:rPr>
        <w:t>招标内容：</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安全生产类培训服务项目</w:t>
      </w:r>
    </w:p>
    <w:tbl>
      <w:tblPr>
        <w:tblStyle w:val="8"/>
        <w:tblW w:w="81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041"/>
        <w:gridCol w:w="1089"/>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2024年</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安全生产类</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按人数结算费用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初培32学时，复审12学时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w:t>
            </w:r>
            <w:r>
              <w:rPr>
                <w:rStyle w:val="12"/>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r>
              <w:rPr>
                <w:rStyle w:val="12"/>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初培48学时，复审16学时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bl>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szCs w:val="22"/>
          <w:lang w:eastAsia="zh-CN"/>
        </w:rPr>
      </w:pPr>
      <w:r>
        <w:rPr>
          <w:rFonts w:hint="eastAsia" w:ascii="Times New Roman" w:hAnsi="Times New Roman"/>
          <w:szCs w:val="22"/>
        </w:rPr>
        <w:t>2</w:t>
      </w:r>
      <w:r>
        <w:rPr>
          <w:rFonts w:ascii="Times New Roman" w:hAnsi="Times New Roman"/>
          <w:szCs w:val="22"/>
        </w:rPr>
        <w:t>.</w:t>
      </w:r>
      <w:r>
        <w:rPr>
          <w:rFonts w:hint="eastAsia" w:ascii="Times New Roman" w:hAnsi="Times New Roman"/>
          <w:szCs w:val="22"/>
          <w:lang w:eastAsia="zh-CN"/>
        </w:rPr>
        <w:t>培训</w:t>
      </w:r>
      <w:r>
        <w:rPr>
          <w:rFonts w:hint="eastAsia" w:ascii="Times New Roman" w:hAnsi="Times New Roman"/>
          <w:szCs w:val="22"/>
        </w:rPr>
        <w:t>地点</w:t>
      </w:r>
      <w:r>
        <w:rPr>
          <w:rFonts w:hint="eastAsia" w:ascii="Times New Roman" w:hAnsi="Times New Roman"/>
          <w:szCs w:val="22"/>
          <w:lang w:eastAsia="zh-CN"/>
        </w:rPr>
        <w:t>：</w:t>
      </w:r>
    </w:p>
    <w:p>
      <w:pPr>
        <w:pStyle w:val="5"/>
        <w:ind w:firstLine="420" w:firstLineChars="200"/>
        <w:rPr>
          <w:rFonts w:hint="eastAsia" w:ascii="Times New Roman" w:hAnsi="Times New Roman"/>
          <w:szCs w:val="22"/>
          <w:lang w:eastAsia="zh-CN"/>
        </w:rPr>
      </w:pPr>
      <w:r>
        <w:rPr>
          <w:rFonts w:hint="eastAsia" w:ascii="Times New Roman" w:hAnsi="Times New Roman"/>
          <w:szCs w:val="22"/>
          <w:lang w:eastAsia="zh-CN"/>
        </w:rPr>
        <w:t>中国重汽集团及各二级生产制造单位（仅济南地区）</w:t>
      </w:r>
    </w:p>
    <w:p>
      <w:pPr>
        <w:pStyle w:val="5"/>
        <w:spacing w:line="360" w:lineRule="auto"/>
        <w:rPr>
          <w:rFonts w:hint="eastAsia" w:ascii="黑体" w:eastAsia="黑体"/>
          <w:b/>
          <w:bCs/>
          <w:sz w:val="28"/>
          <w:highlight w:val="none"/>
        </w:rPr>
      </w:pPr>
      <w:r>
        <w:rPr>
          <w:rFonts w:hint="eastAsia" w:ascii="黑体" w:eastAsia="黑体"/>
          <w:b/>
          <w:bCs/>
          <w:sz w:val="28"/>
          <w:highlight w:val="none"/>
        </w:rPr>
        <w:t>三、招标形式</w:t>
      </w:r>
    </w:p>
    <w:p>
      <w:pPr>
        <w:pStyle w:val="5"/>
        <w:spacing w:line="360" w:lineRule="auto"/>
        <w:ind w:firstLine="420" w:firstLineChars="200"/>
        <w:rPr>
          <w:rFonts w:hint="eastAsia"/>
          <w:highlight w:val="none"/>
        </w:rPr>
      </w:pPr>
      <w:r>
        <w:rPr>
          <w:rFonts w:hint="eastAsia"/>
          <w:highlight w:val="none"/>
        </w:rPr>
        <w:t xml:space="preserve"> </w:t>
      </w:r>
      <w:r>
        <w:rPr>
          <w:rFonts w:hint="eastAsia"/>
          <w:highlight w:val="none"/>
          <w:lang w:val="en-US" w:eastAsia="zh-CN"/>
        </w:rPr>
        <w:t>公开</w:t>
      </w:r>
      <w:r>
        <w:rPr>
          <w:rFonts w:hint="eastAsia"/>
          <w:highlight w:val="none"/>
        </w:rPr>
        <w:t>招标</w:t>
      </w:r>
    </w:p>
    <w:p>
      <w:pPr>
        <w:pStyle w:val="5"/>
        <w:spacing w:line="360" w:lineRule="auto"/>
        <w:rPr>
          <w:rFonts w:ascii="黑体" w:eastAsia="黑体"/>
          <w:b/>
          <w:bCs/>
          <w:sz w:val="28"/>
        </w:rPr>
      </w:pPr>
      <w:r>
        <w:rPr>
          <w:rFonts w:hint="eastAsia" w:ascii="黑体" w:eastAsia="黑体"/>
          <w:b/>
          <w:bCs/>
          <w:sz w:val="28"/>
        </w:rPr>
        <w:t>四、招标议程</w:t>
      </w:r>
    </w:p>
    <w:p>
      <w:pPr>
        <w:pStyle w:val="5"/>
        <w:spacing w:line="360" w:lineRule="auto"/>
        <w:ind w:firstLine="422" w:firstLineChars="200"/>
        <w:rPr>
          <w:rFonts w:hint="eastAsia"/>
          <w:color w:val="FF0000"/>
          <w:highlight w:val="yellow"/>
        </w:rPr>
      </w:pPr>
      <w:r>
        <w:rPr>
          <w:rFonts w:hint="eastAsia"/>
          <w:b/>
        </w:rPr>
        <w:t>1. 发标时间：</w:t>
      </w:r>
      <w:r>
        <w:rPr>
          <w:rFonts w:hint="eastAsia"/>
          <w:b/>
          <w:color w:val="FF0000"/>
          <w:highlight w:val="none"/>
        </w:rPr>
        <w:t xml:space="preserve"> </w:t>
      </w:r>
      <w:r>
        <w:rPr>
          <w:rFonts w:hint="eastAsia"/>
          <w:color w:val="000000"/>
          <w:highlight w:val="none"/>
        </w:rPr>
        <w:t>202</w:t>
      </w:r>
      <w:r>
        <w:rPr>
          <w:rFonts w:hint="eastAsia"/>
          <w:color w:val="000000"/>
          <w:highlight w:val="none"/>
          <w:lang w:val="en-US" w:eastAsia="zh-CN"/>
        </w:rPr>
        <w:t>4</w:t>
      </w:r>
      <w:r>
        <w:rPr>
          <w:rFonts w:hint="eastAsia"/>
          <w:color w:val="000000"/>
          <w:highlight w:val="none"/>
        </w:rPr>
        <w:t>年</w:t>
      </w:r>
      <w:r>
        <w:rPr>
          <w:rFonts w:hint="eastAsia"/>
          <w:color w:val="000000"/>
          <w:highlight w:val="none"/>
          <w:lang w:val="en-US" w:eastAsia="zh-CN"/>
        </w:rPr>
        <w:t>7</w:t>
      </w:r>
      <w:r>
        <w:rPr>
          <w:rFonts w:hint="eastAsia"/>
          <w:color w:val="000000"/>
          <w:highlight w:val="none"/>
        </w:rPr>
        <w:t>月</w:t>
      </w:r>
      <w:r>
        <w:rPr>
          <w:rFonts w:hint="eastAsia"/>
          <w:color w:val="000000"/>
          <w:highlight w:val="none"/>
          <w:lang w:val="en-US" w:eastAsia="zh-CN"/>
        </w:rPr>
        <w:t>26</w:t>
      </w:r>
      <w:r>
        <w:rPr>
          <w:rFonts w:hint="eastAsia"/>
          <w:color w:val="000000"/>
          <w:highlight w:val="none"/>
        </w:rPr>
        <w:t>日</w:t>
      </w:r>
    </w:p>
    <w:p>
      <w:pPr>
        <w:pStyle w:val="5"/>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pPr>
        <w:pStyle w:val="5"/>
        <w:spacing w:line="360" w:lineRule="auto"/>
        <w:ind w:firstLine="422" w:firstLineChars="200"/>
      </w:pPr>
      <w:r>
        <w:rPr>
          <w:rFonts w:hint="eastAsia"/>
          <w:b/>
        </w:rPr>
        <w:t>2. 投标报名截止时间：</w:t>
      </w:r>
      <w:r>
        <w:rPr>
          <w:rFonts w:hint="eastAsia"/>
          <w:color w:val="000000"/>
          <w:highlight w:val="none"/>
        </w:rPr>
        <w:t>202</w:t>
      </w:r>
      <w:r>
        <w:rPr>
          <w:rFonts w:hint="eastAsia"/>
          <w:color w:val="000000"/>
          <w:highlight w:val="none"/>
          <w:lang w:val="en-US" w:eastAsia="zh-CN"/>
        </w:rPr>
        <w:t>4</w:t>
      </w:r>
      <w:r>
        <w:rPr>
          <w:rFonts w:hint="eastAsia"/>
          <w:color w:val="000000"/>
          <w:highlight w:val="none"/>
        </w:rPr>
        <w:t>年</w:t>
      </w:r>
      <w:r>
        <w:rPr>
          <w:rFonts w:hint="eastAsia"/>
          <w:color w:val="000000"/>
          <w:highlight w:val="none"/>
          <w:lang w:val="en-US" w:eastAsia="zh-CN"/>
        </w:rPr>
        <w:t>7</w:t>
      </w:r>
      <w:r>
        <w:rPr>
          <w:rFonts w:hint="eastAsia"/>
          <w:color w:val="000000"/>
          <w:highlight w:val="none"/>
        </w:rPr>
        <w:t>月</w:t>
      </w:r>
      <w:r>
        <w:rPr>
          <w:rFonts w:hint="eastAsia"/>
          <w:color w:val="000000"/>
          <w:highlight w:val="none"/>
          <w:lang w:val="en-US" w:eastAsia="zh-CN"/>
        </w:rPr>
        <w:t>31</w:t>
      </w:r>
      <w:r>
        <w:rPr>
          <w:rFonts w:hint="eastAsia"/>
          <w:color w:val="000000"/>
          <w:highlight w:val="none"/>
        </w:rPr>
        <w:t>日</w:t>
      </w:r>
      <w:r>
        <w:rPr>
          <w:rFonts w:hint="eastAsia"/>
        </w:rPr>
        <w:t>下午</w:t>
      </w:r>
      <w:r>
        <w:rPr>
          <w:rFonts w:hint="eastAsia"/>
          <w:lang w:val="en-US" w:eastAsia="zh-CN"/>
        </w:rPr>
        <w:t>24</w:t>
      </w:r>
      <w:r>
        <w:rPr>
          <w:rFonts w:hint="eastAsia"/>
        </w:rPr>
        <w:t>点前，逾期不受理。</w:t>
      </w:r>
    </w:p>
    <w:p>
      <w:pPr>
        <w:pStyle w:val="5"/>
        <w:spacing w:line="360" w:lineRule="auto"/>
        <w:ind w:firstLine="420" w:firstLineChars="200"/>
        <w:rPr>
          <w:rFonts w:hint="eastAsia"/>
          <w:highlight w:val="none"/>
        </w:rPr>
      </w:pPr>
      <w:r>
        <w:rPr>
          <w:rFonts w:hint="eastAsia"/>
          <w:highlight w:val="none"/>
        </w:rPr>
        <w:t>方式：</w:t>
      </w:r>
      <w:r>
        <w:rPr>
          <w:rFonts w:hint="eastAsia"/>
          <w:highlight w:val="none"/>
          <w:lang w:val="en-US" w:eastAsia="zh-CN"/>
        </w:rPr>
        <w:t>通过重汽</w:t>
      </w:r>
      <w:r>
        <w:rPr>
          <w:rFonts w:hint="eastAsia"/>
          <w:highlight w:val="none"/>
        </w:rPr>
        <w:t>e采通平台</w:t>
      </w:r>
      <w:r>
        <w:rPr>
          <w:rFonts w:hint="eastAsia"/>
          <w:highlight w:val="none"/>
          <w:lang w:val="en-US" w:eastAsia="zh-CN"/>
        </w:rPr>
        <w:t>进行报名，报名需在e采通上</w:t>
      </w:r>
      <w:r>
        <w:rPr>
          <w:rFonts w:hint="eastAsia"/>
          <w:highlight w:val="none"/>
        </w:rPr>
        <w:t>提交盖有投标单位公章的报名表（</w:t>
      </w:r>
      <w:r>
        <w:rPr>
          <w:rFonts w:hint="eastAsia"/>
          <w:highlight w:val="none"/>
          <w:lang w:val="en-US" w:eastAsia="zh-CN"/>
        </w:rPr>
        <w:t>PDF</w:t>
      </w:r>
      <w:r>
        <w:rPr>
          <w:rFonts w:hint="eastAsia"/>
          <w:highlight w:val="none"/>
        </w:rPr>
        <w:t>扫描件），</w:t>
      </w:r>
      <w:r>
        <w:rPr>
          <w:rFonts w:hint="eastAsia"/>
          <w:color w:val="auto"/>
          <w:highlight w:val="none"/>
        </w:rPr>
        <w:t>格式见附件1</w:t>
      </w:r>
      <w:r>
        <w:rPr>
          <w:rFonts w:hint="eastAsia"/>
          <w:highlight w:val="none"/>
        </w:rPr>
        <w:t>，电话或其他报名方式均不受理。</w:t>
      </w:r>
    </w:p>
    <w:p>
      <w:pPr>
        <w:pStyle w:val="5"/>
        <w:spacing w:line="360" w:lineRule="auto"/>
        <w:ind w:firstLine="420" w:firstLineChars="200"/>
        <w:rPr>
          <w:rFonts w:hint="eastAsia"/>
          <w:highlight w:val="none"/>
        </w:rPr>
      </w:pPr>
      <w:r>
        <w:rPr>
          <w:rFonts w:hint="eastAsia"/>
          <w:highlight w:val="none"/>
        </w:rPr>
        <w:t>e采通平台：本项目招标工作的所有过程均须在中国重汽e采通上完成，包括报名、资质审核、招标、应标、评标、审批等环节。中国重汽</w:t>
      </w:r>
      <w:r>
        <w:rPr>
          <w:rFonts w:hint="eastAsia"/>
          <w:highlight w:val="none"/>
          <w:lang w:val="en-US" w:eastAsia="zh-CN"/>
        </w:rPr>
        <w:t>e</w:t>
      </w:r>
      <w:r>
        <w:rPr>
          <w:rFonts w:hint="eastAsia"/>
          <w:highlight w:val="none"/>
        </w:rPr>
        <w:t>采通中链接为（http</w:t>
      </w:r>
      <w:r>
        <w:rPr>
          <w:rFonts w:hint="eastAsia"/>
          <w:highlight w:val="none"/>
          <w:lang w:val="en-US" w:eastAsia="zh-CN"/>
        </w:rPr>
        <w:t>s</w:t>
      </w:r>
      <w:r>
        <w:rPr>
          <w:rFonts w:hint="eastAsia"/>
          <w:highlight w:val="none"/>
        </w:rPr>
        <w:t>://ecaitong.sinotruk.com:8012）。未在中国重汽</w:t>
      </w:r>
      <w:r>
        <w:rPr>
          <w:rFonts w:hint="eastAsia"/>
          <w:highlight w:val="none"/>
          <w:lang w:val="en-US" w:eastAsia="zh-CN"/>
        </w:rPr>
        <w:t>e</w:t>
      </w:r>
      <w:r>
        <w:rPr>
          <w:rFonts w:hint="eastAsia"/>
          <w:highlight w:val="none"/>
        </w:rPr>
        <w:t>采通进行注册的供方，注册时，业务主管部门选择“安全环保</w:t>
      </w:r>
      <w:r>
        <w:rPr>
          <w:rFonts w:hint="eastAsia"/>
          <w:highlight w:val="none"/>
          <w:lang w:val="en-US" w:eastAsia="zh-CN"/>
        </w:rPr>
        <w:t>部”</w:t>
      </w:r>
      <w:r>
        <w:rPr>
          <w:rFonts w:hint="eastAsia"/>
          <w:highlight w:val="none"/>
        </w:rPr>
        <w:t>，类别选择“</w:t>
      </w:r>
      <w:r>
        <w:rPr>
          <w:rFonts w:hint="eastAsia"/>
          <w:highlight w:val="none"/>
          <w:lang w:val="en-US" w:eastAsia="zh-CN"/>
        </w:rPr>
        <w:t>安全”</w:t>
      </w:r>
      <w:r>
        <w:rPr>
          <w:rFonts w:hint="eastAsia"/>
          <w:highlight w:val="none"/>
        </w:rPr>
        <w:t>，投标人须在202</w:t>
      </w:r>
      <w:r>
        <w:rPr>
          <w:rFonts w:hint="eastAsia"/>
          <w:highlight w:val="none"/>
          <w:lang w:val="en-US" w:eastAsia="zh-CN"/>
        </w:rPr>
        <w:t>4</w:t>
      </w:r>
      <w:r>
        <w:rPr>
          <w:rFonts w:hint="eastAsia"/>
          <w:highlight w:val="none"/>
        </w:rPr>
        <w:t>年</w:t>
      </w:r>
      <w:r>
        <w:rPr>
          <w:rFonts w:hint="eastAsia"/>
          <w:highlight w:val="none"/>
          <w:lang w:val="en-US" w:eastAsia="zh-CN"/>
        </w:rPr>
        <w:t>7</w:t>
      </w:r>
      <w:r>
        <w:rPr>
          <w:rFonts w:hint="eastAsia"/>
          <w:highlight w:val="none"/>
        </w:rPr>
        <w:t>月</w:t>
      </w:r>
      <w:r>
        <w:rPr>
          <w:rFonts w:hint="eastAsia"/>
          <w:highlight w:val="none"/>
          <w:lang w:val="en-US" w:eastAsia="zh-CN"/>
        </w:rPr>
        <w:t>27</w:t>
      </w:r>
      <w:r>
        <w:rPr>
          <w:rFonts w:hint="eastAsia"/>
          <w:highlight w:val="none"/>
        </w:rPr>
        <w:t>日24:00前供应商信息注册（建议尽早开展注册工作，</w:t>
      </w:r>
      <w:r>
        <w:rPr>
          <w:rFonts w:hint="eastAsia"/>
          <w:color w:val="auto"/>
          <w:highlight w:val="none"/>
        </w:rPr>
        <w:t>操作手册见附件</w:t>
      </w:r>
      <w:r>
        <w:rPr>
          <w:rFonts w:hint="eastAsia"/>
          <w:color w:val="auto"/>
          <w:highlight w:val="none"/>
          <w:lang w:val="en-US" w:eastAsia="zh-CN"/>
        </w:rPr>
        <w:t>11</w:t>
      </w:r>
      <w:r>
        <w:rPr>
          <w:rFonts w:hint="eastAsia"/>
          <w:highlight w:val="none"/>
        </w:rPr>
        <w:t>）；注册成功后，须202</w:t>
      </w:r>
      <w:r>
        <w:rPr>
          <w:rFonts w:hint="eastAsia"/>
          <w:highlight w:val="none"/>
          <w:lang w:val="en-US" w:eastAsia="zh-CN"/>
        </w:rPr>
        <w:t>4</w:t>
      </w:r>
      <w:r>
        <w:rPr>
          <w:rFonts w:hint="eastAsia"/>
          <w:highlight w:val="none"/>
        </w:rPr>
        <w:t>年</w:t>
      </w:r>
      <w:r>
        <w:rPr>
          <w:rFonts w:hint="eastAsia"/>
          <w:highlight w:val="none"/>
          <w:lang w:val="en-US" w:eastAsia="zh-CN"/>
        </w:rPr>
        <w:t>7</w:t>
      </w:r>
      <w:r>
        <w:rPr>
          <w:rFonts w:hint="eastAsia"/>
          <w:highlight w:val="none"/>
        </w:rPr>
        <w:t>月</w:t>
      </w:r>
      <w:r>
        <w:rPr>
          <w:rFonts w:hint="eastAsia"/>
          <w:highlight w:val="none"/>
          <w:lang w:val="en-US" w:eastAsia="zh-CN"/>
        </w:rPr>
        <w:t>29</w:t>
      </w:r>
      <w:r>
        <w:rPr>
          <w:rFonts w:hint="eastAsia"/>
          <w:highlight w:val="none"/>
        </w:rPr>
        <w:t>日</w:t>
      </w:r>
      <w:r>
        <w:rPr>
          <w:rFonts w:hint="eastAsia"/>
          <w:highlight w:val="none"/>
          <w:lang w:val="en-US" w:eastAsia="zh-CN"/>
        </w:rPr>
        <w:t>17</w:t>
      </w:r>
      <w:r>
        <w:rPr>
          <w:rFonts w:hint="eastAsia"/>
          <w:highlight w:val="none"/>
        </w:rPr>
        <w:t>:00前在完成项目应标，看标书文件并上传相关文档（</w:t>
      </w:r>
      <w:r>
        <w:rPr>
          <w:rFonts w:hint="eastAsia"/>
          <w:color w:val="auto"/>
          <w:highlight w:val="none"/>
        </w:rPr>
        <w:t>操作手册见附件</w:t>
      </w:r>
      <w:r>
        <w:rPr>
          <w:rFonts w:hint="eastAsia"/>
          <w:color w:val="auto"/>
          <w:highlight w:val="none"/>
          <w:lang w:val="en-US" w:eastAsia="zh-CN"/>
        </w:rPr>
        <w:t>12</w:t>
      </w:r>
      <w:r>
        <w:rPr>
          <w:rFonts w:hint="eastAsia"/>
          <w:highlight w:val="none"/>
        </w:rPr>
        <w:t>）。</w:t>
      </w:r>
    </w:p>
    <w:p>
      <w:pPr>
        <w:pStyle w:val="5"/>
        <w:spacing w:line="360" w:lineRule="auto"/>
        <w:ind w:firstLine="422" w:firstLineChars="200"/>
        <w:rPr>
          <w:rFonts w:hint="eastAsia"/>
          <w:highlight w:val="none"/>
        </w:rPr>
      </w:pPr>
      <w:r>
        <w:rPr>
          <w:rFonts w:hint="eastAsia"/>
          <w:b/>
          <w:highlight w:val="none"/>
        </w:rPr>
        <w:t>3.答疑时间：</w:t>
      </w:r>
      <w:r>
        <w:rPr>
          <w:rFonts w:hint="eastAsia"/>
          <w:highlight w:val="none"/>
        </w:rPr>
        <w:t>截止</w:t>
      </w:r>
      <w:r>
        <w:rPr>
          <w:rFonts w:hint="eastAsia"/>
          <w:color w:val="000000"/>
          <w:highlight w:val="none"/>
        </w:rPr>
        <w:t>至202</w:t>
      </w:r>
      <w:r>
        <w:rPr>
          <w:rFonts w:hint="eastAsia"/>
          <w:color w:val="000000"/>
          <w:highlight w:val="none"/>
          <w:lang w:val="en-US" w:eastAsia="zh-CN"/>
        </w:rPr>
        <w:t>4</w:t>
      </w:r>
      <w:r>
        <w:rPr>
          <w:rFonts w:hint="eastAsia"/>
          <w:color w:val="000000"/>
          <w:highlight w:val="none"/>
        </w:rPr>
        <w:t>年</w:t>
      </w:r>
      <w:r>
        <w:rPr>
          <w:rFonts w:hint="eastAsia"/>
          <w:color w:val="000000"/>
          <w:highlight w:val="none"/>
          <w:lang w:val="en-US" w:eastAsia="zh-CN"/>
        </w:rPr>
        <w:t>7</w:t>
      </w:r>
      <w:r>
        <w:rPr>
          <w:rFonts w:hint="eastAsia"/>
          <w:color w:val="000000"/>
          <w:highlight w:val="none"/>
        </w:rPr>
        <w:t>月</w:t>
      </w:r>
      <w:r>
        <w:rPr>
          <w:rFonts w:hint="eastAsia"/>
          <w:color w:val="000000"/>
          <w:highlight w:val="none"/>
          <w:lang w:val="en-US" w:eastAsia="zh-CN"/>
        </w:rPr>
        <w:t>28</w:t>
      </w:r>
      <w:r>
        <w:rPr>
          <w:rFonts w:hint="eastAsia"/>
          <w:highlight w:val="none"/>
        </w:rPr>
        <w:t>日下午17点前，逾期不受理。</w:t>
      </w:r>
    </w:p>
    <w:p>
      <w:pPr>
        <w:pStyle w:val="5"/>
        <w:spacing w:line="360" w:lineRule="auto"/>
        <w:ind w:firstLine="405"/>
        <w:rPr>
          <w:rFonts w:hint="eastAsia"/>
          <w:highlight w:val="none"/>
        </w:rPr>
      </w:pPr>
      <w:r>
        <w:rPr>
          <w:rFonts w:hint="eastAsia"/>
          <w:highlight w:val="none"/>
        </w:rPr>
        <w:t>答疑方式：</w:t>
      </w:r>
      <w:r>
        <w:rPr>
          <w:rFonts w:hint="eastAsia"/>
          <w:highlight w:val="none"/>
          <w:lang w:val="en-US" w:eastAsia="zh-CN"/>
        </w:rPr>
        <w:t>书面答疑</w:t>
      </w:r>
      <w:r>
        <w:rPr>
          <w:rFonts w:hint="eastAsia"/>
          <w:highlight w:val="none"/>
        </w:rPr>
        <w:t>。</w:t>
      </w:r>
    </w:p>
    <w:p>
      <w:pPr>
        <w:pStyle w:val="5"/>
        <w:spacing w:line="360" w:lineRule="auto"/>
        <w:ind w:firstLine="405"/>
        <w:rPr>
          <w:rFonts w:hint="default" w:eastAsiaTheme="minorEastAsia"/>
          <w:highlight w:val="none"/>
          <w:lang w:val="en-US" w:eastAsia="zh-CN"/>
        </w:rPr>
      </w:pPr>
      <w:r>
        <w:rPr>
          <w:rFonts w:hint="eastAsia"/>
          <w:highlight w:val="none"/>
          <w:lang w:val="en-US" w:eastAsia="zh-CN"/>
        </w:rPr>
        <w:t>邮箱：yuxiaoming</w:t>
      </w:r>
      <w:r>
        <w:rPr>
          <w:rFonts w:hint="eastAsia" w:ascii="Helvetica" w:hAnsi="Helvetica" w:eastAsia="Helvetica" w:cs="Helvetica"/>
          <w:i w:val="0"/>
          <w:iCs w:val="0"/>
          <w:caps w:val="0"/>
          <w:color w:val="171A1D"/>
          <w:spacing w:val="0"/>
          <w:sz w:val="21"/>
          <w:szCs w:val="21"/>
          <w:highlight w:val="none"/>
          <w:shd w:val="clear" w:fill="FFFFFF"/>
        </w:rPr>
        <w:t>@sinotru</w:t>
      </w:r>
      <w:r>
        <w:rPr>
          <w:rFonts w:hint="eastAsia" w:ascii="Helvetica" w:hAnsi="Helvetica" w:eastAsia="Helvetica" w:cs="Helvetica"/>
          <w:i w:val="0"/>
          <w:iCs w:val="0"/>
          <w:caps w:val="0"/>
          <w:color w:val="171A1D"/>
          <w:spacing w:val="0"/>
          <w:sz w:val="21"/>
          <w:szCs w:val="21"/>
          <w:shd w:val="clear" w:fill="FFFFFF"/>
        </w:rPr>
        <w:t>k.com</w:t>
      </w:r>
    </w:p>
    <w:p>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于晓明    </w:t>
      </w:r>
      <w:r>
        <w:rPr>
          <w:rFonts w:hint="eastAsia"/>
          <w:lang w:eastAsia="zh-CN"/>
        </w:rPr>
        <w:t>联系电话</w:t>
      </w:r>
      <w:r>
        <w:rPr>
          <w:rFonts w:hint="eastAsia"/>
        </w:rPr>
        <w:t>：</w:t>
      </w:r>
      <w:r>
        <w:rPr>
          <w:rFonts w:hint="eastAsia"/>
          <w:lang w:val="en-US" w:eastAsia="zh-CN"/>
        </w:rPr>
        <w:t>13361010485</w:t>
      </w:r>
    </w:p>
    <w:p>
      <w:pPr>
        <w:pStyle w:val="5"/>
        <w:spacing w:line="360" w:lineRule="auto"/>
        <w:ind w:firstLine="422" w:firstLineChars="200"/>
        <w:rPr>
          <w:rFonts w:hint="default" w:eastAsia="宋体"/>
          <w:lang w:val="en-US" w:eastAsia="zh-CN"/>
        </w:rPr>
      </w:pPr>
      <w:r>
        <w:rPr>
          <w:rFonts w:hint="eastAsia"/>
          <w:b/>
        </w:rPr>
        <w:t>4.开标时间：</w:t>
      </w:r>
      <w:r>
        <w:rPr>
          <w:rFonts w:hint="eastAsia"/>
          <w:color w:val="000000"/>
          <w:highlight w:val="none"/>
        </w:rPr>
        <w:t>202</w:t>
      </w:r>
      <w:r>
        <w:rPr>
          <w:rFonts w:hint="eastAsia"/>
          <w:color w:val="000000"/>
          <w:highlight w:val="none"/>
          <w:lang w:val="en-US" w:eastAsia="zh-CN"/>
        </w:rPr>
        <w:t>4</w:t>
      </w:r>
      <w:r>
        <w:rPr>
          <w:rFonts w:hint="eastAsia"/>
          <w:color w:val="000000"/>
          <w:highlight w:val="none"/>
        </w:rPr>
        <w:t>年</w:t>
      </w:r>
      <w:r>
        <w:rPr>
          <w:rFonts w:hint="eastAsia"/>
          <w:color w:val="000000"/>
          <w:highlight w:val="none"/>
          <w:lang w:val="en-US" w:eastAsia="zh-CN"/>
        </w:rPr>
        <w:t>8</w:t>
      </w:r>
      <w:r>
        <w:rPr>
          <w:rFonts w:hint="eastAsia"/>
          <w:color w:val="000000"/>
          <w:highlight w:val="none"/>
        </w:rPr>
        <w:t>月</w:t>
      </w:r>
      <w:r>
        <w:rPr>
          <w:rFonts w:hint="eastAsia"/>
          <w:color w:val="000000"/>
          <w:highlight w:val="none"/>
          <w:lang w:val="en-US" w:eastAsia="zh-CN"/>
        </w:rPr>
        <w:t>7</w:t>
      </w:r>
      <w:bookmarkStart w:id="5" w:name="_GoBack"/>
      <w:bookmarkEnd w:id="5"/>
      <w:r>
        <w:rPr>
          <w:rFonts w:hint="eastAsia"/>
          <w:color w:val="000000"/>
          <w:highlight w:val="none"/>
        </w:rPr>
        <w:t>日上午9</w:t>
      </w:r>
      <w:r>
        <w:rPr>
          <w:rFonts w:hint="eastAsia"/>
          <w:color w:val="000000"/>
          <w:highlight w:val="none"/>
          <w:lang w:eastAsia="zh-CN"/>
        </w:rPr>
        <w:t>时</w:t>
      </w:r>
      <w:r>
        <w:rPr>
          <w:rFonts w:hint="eastAsia"/>
          <w:color w:val="000000"/>
          <w:highlight w:val="none"/>
          <w:lang w:val="en-US" w:eastAsia="zh-CN"/>
        </w:rPr>
        <w:t>30分（暂定）以电话通知为准</w:t>
      </w:r>
    </w:p>
    <w:p>
      <w:pPr>
        <w:pStyle w:val="5"/>
        <w:spacing w:line="360" w:lineRule="auto"/>
        <w:ind w:firstLine="422" w:firstLineChars="200"/>
        <w:rPr>
          <w:rFonts w:hint="eastAsia"/>
          <w:color w:val="000000"/>
          <w:highlight w:val="none"/>
        </w:rPr>
      </w:pPr>
      <w:r>
        <w:rPr>
          <w:rFonts w:hint="eastAsia"/>
          <w:b/>
        </w:rPr>
        <w:t>5.开标地点：</w:t>
      </w:r>
      <w:r>
        <w:rPr>
          <w:rFonts w:hint="eastAsia"/>
          <w:color w:val="000000"/>
          <w:highlight w:val="none"/>
        </w:rPr>
        <w:t>中国重汽集团济南商用车公司（山东省济南市世纪大道7777号章丘重汽工业园五号门）132会议室</w:t>
      </w:r>
      <w:r>
        <w:rPr>
          <w:rFonts w:hint="eastAsia"/>
          <w:color w:val="000000"/>
          <w:highlight w:val="none"/>
          <w:lang w:eastAsia="zh-CN"/>
        </w:rPr>
        <w:t>（以</w:t>
      </w:r>
      <w:r>
        <w:rPr>
          <w:rFonts w:hint="eastAsia"/>
          <w:color w:val="000000"/>
          <w:highlight w:val="none"/>
          <w:lang w:val="en-US" w:eastAsia="zh-CN"/>
        </w:rPr>
        <w:t>实际</w:t>
      </w:r>
      <w:r>
        <w:rPr>
          <w:rFonts w:hint="eastAsia"/>
          <w:color w:val="000000"/>
          <w:highlight w:val="none"/>
          <w:lang w:eastAsia="zh-CN"/>
        </w:rPr>
        <w:t>通知为准）。</w:t>
      </w:r>
      <w:r>
        <w:rPr>
          <w:rFonts w:hint="eastAsia"/>
          <w:color w:val="000000"/>
          <w:highlight w:val="none"/>
        </w:rPr>
        <w:t xml:space="preserve">   </w:t>
      </w:r>
    </w:p>
    <w:p>
      <w:pPr>
        <w:pStyle w:val="5"/>
        <w:spacing w:line="360" w:lineRule="auto"/>
        <w:ind w:firstLine="422" w:firstLineChars="200"/>
        <w:rPr>
          <w:rFonts w:hint="eastAsia" w:eastAsia="宋体"/>
          <w:b/>
          <w:lang w:eastAsia="zh-CN"/>
        </w:rPr>
      </w:pPr>
      <w:r>
        <w:rPr>
          <w:rFonts w:hint="eastAsia"/>
          <w:b/>
        </w:rPr>
        <w:t>6.开标现场资质审验</w:t>
      </w:r>
      <w:r>
        <w:rPr>
          <w:rFonts w:hint="eastAsia"/>
          <w:b/>
          <w:lang w:eastAsia="zh-CN"/>
        </w:rPr>
        <w:t>：</w:t>
      </w:r>
    </w:p>
    <w:p>
      <w:pPr>
        <w:pStyle w:val="5"/>
        <w:spacing w:line="360" w:lineRule="auto"/>
        <w:ind w:firstLine="420" w:firstLineChars="200"/>
        <w:rPr>
          <w:rFonts w:hint="eastAsia"/>
        </w:rPr>
      </w:pPr>
      <w:r>
        <w:rPr>
          <w:rFonts w:hint="eastAsia"/>
        </w:rPr>
        <w:t>需提交的材料要求：详见本招标书</w:t>
      </w:r>
      <w:r>
        <w:rPr>
          <w:rFonts w:hint="eastAsia"/>
          <w:highlight w:val="none"/>
        </w:rPr>
        <w:t>“第二章 招标人须知”之“二、投标响应文件”之“1.</w:t>
      </w:r>
      <w:r>
        <w:rPr>
          <w:rFonts w:hint="eastAsia" w:hAnsi="宋体"/>
          <w:highlight w:val="none"/>
        </w:rPr>
        <w:t>⑴</w:t>
      </w:r>
      <w:r>
        <w:rPr>
          <w:rFonts w:hint="eastAsia"/>
          <w:highlight w:val="none"/>
        </w:rPr>
        <w:t xml:space="preserve"> 资质文件”</w:t>
      </w:r>
      <w:r>
        <w:rPr>
          <w:rFonts w:hint="eastAsia"/>
        </w:rPr>
        <w:t>所列示条目及要求。</w:t>
      </w:r>
    </w:p>
    <w:p>
      <w:pPr>
        <w:pStyle w:val="5"/>
        <w:spacing w:line="360" w:lineRule="auto"/>
        <w:ind w:firstLine="422" w:firstLineChars="200"/>
        <w:rPr>
          <w:b/>
        </w:rPr>
      </w:pPr>
      <w:r>
        <w:rPr>
          <w:rFonts w:hint="eastAsia"/>
          <w:b/>
        </w:rPr>
        <w:t>7. 评标：</w:t>
      </w:r>
    </w:p>
    <w:p>
      <w:pPr>
        <w:pStyle w:val="5"/>
        <w:spacing w:line="360" w:lineRule="auto"/>
        <w:ind w:firstLine="420" w:firstLineChars="200"/>
      </w:pPr>
      <w:r>
        <w:rPr>
          <w:rFonts w:hint="eastAsia"/>
        </w:rPr>
        <w:t>需提供的材料：</w:t>
      </w:r>
    </w:p>
    <w:p>
      <w:pPr>
        <w:pStyle w:val="5"/>
        <w:spacing w:line="360" w:lineRule="auto"/>
        <w:ind w:firstLine="420" w:firstLineChars="200"/>
      </w:pPr>
      <w:r>
        <w:rPr>
          <w:rFonts w:hint="eastAsia"/>
        </w:rPr>
        <w:t>（1）开标一览表；</w:t>
      </w:r>
    </w:p>
    <w:p>
      <w:pPr>
        <w:pStyle w:val="5"/>
        <w:spacing w:line="360" w:lineRule="auto"/>
        <w:ind w:firstLine="420" w:firstLineChars="200"/>
      </w:pPr>
      <w:r>
        <w:rPr>
          <w:rFonts w:hint="eastAsia"/>
        </w:rPr>
        <w:t>（2）</w:t>
      </w:r>
      <w:r>
        <w:rPr>
          <w:rFonts w:hint="eastAsia"/>
          <w:lang w:val="en-US" w:eastAsia="zh-CN"/>
        </w:rPr>
        <w:t>资质文件</w:t>
      </w:r>
      <w:r>
        <w:rPr>
          <w:rFonts w:hint="eastAsia"/>
        </w:rPr>
        <w:t>；</w:t>
      </w:r>
    </w:p>
    <w:p>
      <w:pPr>
        <w:pStyle w:val="5"/>
        <w:spacing w:line="360" w:lineRule="auto"/>
        <w:ind w:firstLine="420" w:firstLineChars="200"/>
        <w:rPr>
          <w:rFonts w:hint="eastAsia"/>
          <w:lang w:eastAsia="zh-CN"/>
        </w:rPr>
      </w:pPr>
      <w:r>
        <w:rPr>
          <w:rFonts w:hint="eastAsia"/>
        </w:rPr>
        <w:t>（3）</w:t>
      </w:r>
      <w:r>
        <w:rPr>
          <w:rFonts w:hint="eastAsia"/>
          <w:lang w:val="en-US" w:eastAsia="zh-CN"/>
        </w:rPr>
        <w:t>商务文件</w:t>
      </w:r>
      <w:r>
        <w:rPr>
          <w:rFonts w:hint="eastAsia"/>
          <w:lang w:eastAsia="zh-CN"/>
        </w:rPr>
        <w:t>；</w:t>
      </w:r>
    </w:p>
    <w:p>
      <w:pPr>
        <w:pStyle w:val="5"/>
        <w:spacing w:line="360" w:lineRule="auto"/>
        <w:ind w:firstLine="422" w:firstLineChars="200"/>
      </w:pPr>
      <w:r>
        <w:rPr>
          <w:rFonts w:hint="eastAsia"/>
          <w:b/>
        </w:rPr>
        <w:t>说明：</w:t>
      </w:r>
      <w:r>
        <w:rPr>
          <w:rFonts w:hint="eastAsia"/>
        </w:rPr>
        <w:t>投标人需按本招标书之</w:t>
      </w:r>
      <w:r>
        <w:rPr>
          <w:rFonts w:hint="eastAsia"/>
          <w:highlight w:val="none"/>
        </w:rPr>
        <w:t>“第三章 投标文件编制”</w:t>
      </w:r>
      <w:r>
        <w:rPr>
          <w:rFonts w:hint="eastAsia"/>
        </w:rPr>
        <w:t>之相关要求对上述投标文件进行编制密封，并于评标开始时向评标工作小组当面提交。评标开始后未到达现场或未能按规定提交相关材料的，被视为主动放弃本项目投标。</w:t>
      </w:r>
    </w:p>
    <w:p>
      <w:pPr>
        <w:pStyle w:val="5"/>
        <w:spacing w:line="360" w:lineRule="auto"/>
        <w:ind w:firstLine="422" w:firstLineChars="200"/>
        <w:rPr>
          <w:b/>
        </w:rPr>
      </w:pPr>
      <w:r>
        <w:rPr>
          <w:rFonts w:hint="eastAsia"/>
          <w:b/>
        </w:rPr>
        <w:t>8.联 系 人：</w:t>
      </w:r>
    </w:p>
    <w:p>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于晓明    </w:t>
      </w:r>
      <w:r>
        <w:rPr>
          <w:rFonts w:hint="eastAsia"/>
          <w:lang w:eastAsia="zh-CN"/>
        </w:rPr>
        <w:t>联系电话</w:t>
      </w:r>
      <w:r>
        <w:rPr>
          <w:rFonts w:hint="eastAsia"/>
        </w:rPr>
        <w:t>：</w:t>
      </w:r>
      <w:r>
        <w:rPr>
          <w:rFonts w:hint="eastAsia"/>
          <w:lang w:val="en-US" w:eastAsia="zh-CN"/>
        </w:rPr>
        <w:t>13361010485</w:t>
      </w:r>
    </w:p>
    <w:p>
      <w:pPr>
        <w:pStyle w:val="5"/>
        <w:spacing w:line="360" w:lineRule="auto"/>
        <w:ind w:firstLine="2530" w:firstLineChars="700"/>
        <w:outlineLvl w:val="0"/>
        <w:rPr>
          <w:rFonts w:hint="eastAsia" w:ascii="黑体" w:eastAsia="黑体"/>
          <w:b/>
          <w:bCs/>
          <w:sz w:val="36"/>
          <w:szCs w:val="36"/>
        </w:rPr>
      </w:pPr>
      <w:bookmarkStart w:id="0" w:name="_Toc35956343"/>
      <w:r>
        <w:rPr>
          <w:rFonts w:hint="eastAsia" w:ascii="黑体" w:eastAsia="黑体"/>
          <w:b/>
          <w:bCs/>
          <w:sz w:val="36"/>
          <w:szCs w:val="36"/>
        </w:rPr>
        <w:t>第二章  投标人须知</w:t>
      </w:r>
      <w:bookmarkEnd w:id="0"/>
    </w:p>
    <w:p>
      <w:pPr>
        <w:pStyle w:val="5"/>
        <w:ind w:firstLine="420" w:firstLineChars="200"/>
        <w:rPr>
          <w:rFonts w:hint="eastAsia"/>
        </w:rPr>
      </w:pPr>
      <w:r>
        <w:rPr>
          <w:rFonts w:hint="eastAsia"/>
        </w:rPr>
        <w:t>1.投标人须遵守《</w:t>
      </w:r>
      <w:bookmarkStart w:id="1" w:name="OLE_LINK2"/>
      <w:bookmarkStart w:id="2" w:name="OLE_LINK3"/>
      <w:r>
        <w:rPr>
          <w:rFonts w:hint="eastAsia"/>
        </w:rPr>
        <w:t>中华人民共和国招标投标法</w:t>
      </w:r>
      <w:bookmarkEnd w:id="1"/>
      <w:bookmarkEnd w:id="2"/>
      <w:r>
        <w:rPr>
          <w:rFonts w:hint="eastAsia"/>
        </w:rPr>
        <w:t>》、《</w:t>
      </w:r>
      <w:bookmarkStart w:id="3" w:name="_Hlk152145476"/>
      <w:r>
        <w:rPr>
          <w:rFonts w:hint="eastAsia"/>
        </w:rPr>
        <w:t>中华人民共和国民法典</w:t>
      </w:r>
      <w:bookmarkEnd w:id="3"/>
      <w:r>
        <w:rPr>
          <w:rFonts w:hint="eastAsia"/>
        </w:rPr>
        <w:t>》及其它有关的法律和法规；为中华人民共和国境内注册的独立法人机构，具有独立承担民事责任能力；</w:t>
      </w:r>
    </w:p>
    <w:p>
      <w:pPr>
        <w:pStyle w:val="5"/>
        <w:ind w:firstLine="420" w:firstLineChars="200"/>
        <w:rPr>
          <w:rFonts w:hint="eastAsia"/>
        </w:rPr>
      </w:pPr>
      <w:r>
        <w:rPr>
          <w:rFonts w:hint="eastAsia"/>
        </w:rPr>
        <w:t>2.公司成立三年以上（以营业执照成立日期到开标当日满三年为准）；注册资金不少于500万元人民币；营业范围包括须具有国家承认的相关培训资质，经营范围满足招标项目需求；</w:t>
      </w:r>
    </w:p>
    <w:p>
      <w:pPr>
        <w:pStyle w:val="5"/>
        <w:ind w:firstLine="420" w:firstLineChars="200"/>
        <w:rPr>
          <w:rFonts w:hint="eastAsia"/>
          <w:lang w:eastAsia="zh-CN"/>
        </w:rPr>
      </w:pPr>
      <w:r>
        <w:rPr>
          <w:rFonts w:hint="eastAsia"/>
        </w:rPr>
        <w:t>3.投标人须提供具有统一社会信用代码的新版营业执照副本复印件（加盖公章）、授权委托书及身份证</w:t>
      </w:r>
      <w:r>
        <w:rPr>
          <w:rFonts w:hint="eastAsia"/>
          <w:lang w:val="en-US" w:eastAsia="zh-CN"/>
        </w:rPr>
        <w:t>复印件</w:t>
      </w:r>
      <w:r>
        <w:rPr>
          <w:rFonts w:hint="eastAsia"/>
        </w:rPr>
        <w:t>参加开标会议，否则视为弃标</w:t>
      </w:r>
      <w:r>
        <w:rPr>
          <w:rFonts w:hint="eastAsia"/>
          <w:lang w:eastAsia="zh-CN"/>
        </w:rPr>
        <w:t>；</w:t>
      </w:r>
    </w:p>
    <w:p>
      <w:pPr>
        <w:pStyle w:val="5"/>
        <w:ind w:firstLine="420" w:firstLineChars="200"/>
        <w:rPr>
          <w:rFonts w:hint="eastAsia"/>
          <w:lang w:eastAsia="zh-CN"/>
        </w:rPr>
      </w:pPr>
      <w:r>
        <w:rPr>
          <w:rFonts w:hint="eastAsia"/>
          <w:lang w:val="en-US" w:eastAsia="zh-CN"/>
        </w:rPr>
        <w:t>4.</w:t>
      </w:r>
      <w:r>
        <w:rPr>
          <w:rFonts w:hint="eastAsia"/>
          <w:lang w:eastAsia="zh-CN"/>
        </w:rPr>
        <w:t>投标人</w:t>
      </w:r>
      <w:r>
        <w:rPr>
          <w:rFonts w:hint="eastAsia"/>
        </w:rPr>
        <w:t>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r>
        <w:rPr>
          <w:rFonts w:hint="eastAsia"/>
          <w:lang w:eastAsia="zh-CN"/>
        </w:rPr>
        <w:t>。</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5.无招标违规、谎报年度报告信息、提供虚假资质资料等行为或其他行政处罚记录；</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6.具有健全的财务会计制度，有依法缴纳税收和社会保障资金的良好记录；投标单位需提供（2020年至今）经会计师事务所或审计机构出具的财务审计报告，保证单位财务状况良好可以进行投标；</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7. 投标人必须是最终中标并签订合同的单位，不得以任何理由将已中标项目以任何形式转包给其他单位；</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9.本次招标项目不接受联合体投标。</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10.入围（获得该项目的投标资格）的投标人，需遵循以下要求：</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投标人需在开标前3天向招标人财务部门缴纳5000元（人民币）作为本次投标的投标保证金。</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缴纳方式：电汇或网银，投标保证金应从基本账户转入，需备注“中国重型汽车集团有限公司驻济相关单位特种作业类培训服务项目投标保证金”；</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汇入账号单位：中国重汽集团上市财务部；</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转账信息：</w:t>
      </w:r>
    </w:p>
    <w:tbl>
      <w:tblPr>
        <w:tblStyle w:val="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开户银行：中国建设银行济南天桥支行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户名：中国重汽集团济南动力有限公司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账号：3700  1616  5080  5015  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highlight w:val="none"/>
              </w:rPr>
            </w:pPr>
            <w:r>
              <w:rPr>
                <w:rFonts w:hint="eastAsia" w:ascii="宋体" w:hAnsi="宋体"/>
                <w:highlight w:val="none"/>
              </w:rPr>
              <w:t>联行号：105  451  000  362</w:t>
            </w:r>
          </w:p>
        </w:tc>
      </w:tr>
    </w:tbl>
    <w:p>
      <w:pPr>
        <w:numPr>
          <w:ilvl w:val="0"/>
          <w:numId w:val="0"/>
        </w:numPr>
        <w:spacing w:line="360" w:lineRule="auto"/>
        <w:rPr>
          <w:rFonts w:hint="eastAsia" w:hAnsi="宋体"/>
          <w:b/>
          <w:highlight w:val="none"/>
        </w:rPr>
      </w:pPr>
      <w:r>
        <w:rPr>
          <w:rFonts w:hint="eastAsia" w:hAnsi="宋体"/>
          <w:b/>
          <w:highlight w:val="none"/>
        </w:rPr>
        <w:t>注：</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（1）保证金截止时间：2024年7月23日24时前</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（2）发生以下情况时，招标人有权没收保证金，该投标人2年不得参与招标人组织的招投标项目：</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①供应商在提交响应文件截止时间后撤回响应文件的； </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②供应商在响应文件中提供虚假材料的； </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③除因不可抗力或谈判文件、询价通知书认可的情形以外，成交供应商不与采购人签订合同的； </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④供应商与采购人、其他供应商或者采购代理机构恶意串通、围标、陪标的； </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⑤采购文件规定的其他情形； </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⑥供应商有违约违规行为或被投诉、举报的，在调查处理期间，保证金暂不退还，待调查处理结束后按有关规定处理。 </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不存在以上违规情况的投标人，在中标（成交）通知书发出后45个工作日内，通知财务部门退还中标和未中标人的投标保证金；在采购合同签订后30个工作日内退还中标（成交）人的投标保证金、或根据合同中的约定将投标保证金转为履约保证金（期间不计息）。</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11.供方的直接或间接股东、法定代表人、董事、监事、高管非重汽员工及其亲属。</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12.投标人须认可招标人的工作指令，包括节假日、夜间能正常开展工作的要求；</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13.投标人在向招标人出示《投标保证金缴纳凭证》后方可进行投标；</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14、出现以下情况，投标人取消资格：</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⑴投标人提供的有关资格、资质证明文件不合格、不真实或提供虚假投标材料；</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⑵投标人在报价有效期内撤回投标；</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⑶在整个评标过程中，投标人有企图影响评标结果公正性的任何活动；</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⑷投标人以任何方式诋毁其他投标人；</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⑸投标人串通投标；</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⑹以他人名义投标或者以其他方式弄虚作假，骗取中标的；</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⑺中标后不按规定签订协议或合同；</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⑻法律、法规规定的其他情况。</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上述为投标必备的资格条件，相关材料缺项会按不响应招标文件或无效投标处理，资质证明审查后废除投标资格。逾期的投标文件招标人不予受理。</w:t>
      </w:r>
    </w:p>
    <w:p>
      <w:pPr>
        <w:pStyle w:val="5"/>
        <w:spacing w:line="360" w:lineRule="auto"/>
        <w:rPr>
          <w:rFonts w:ascii="黑体" w:eastAsia="黑体"/>
          <w:b/>
          <w:bCs/>
          <w:sz w:val="28"/>
        </w:rPr>
      </w:pPr>
      <w:r>
        <w:rPr>
          <w:rFonts w:hint="eastAsia" w:ascii="黑体" w:eastAsia="黑体"/>
          <w:b/>
          <w:bCs/>
          <w:sz w:val="28"/>
        </w:rPr>
        <w:t>二、投标响应文件</w:t>
      </w:r>
    </w:p>
    <w:p>
      <w:pPr>
        <w:pStyle w:val="5"/>
        <w:spacing w:line="360" w:lineRule="auto"/>
        <w:ind w:firstLine="422" w:firstLineChars="200"/>
        <w:rPr>
          <w:b/>
        </w:rPr>
      </w:pPr>
      <w:r>
        <w:rPr>
          <w:rFonts w:hint="eastAsia"/>
          <w:b/>
        </w:rPr>
        <w:t>1.投标响应文件组成：</w:t>
      </w:r>
    </w:p>
    <w:p>
      <w:pPr>
        <w:pStyle w:val="5"/>
        <w:spacing w:line="360" w:lineRule="auto"/>
        <w:ind w:firstLine="422" w:firstLineChars="200"/>
        <w:rPr>
          <w:b/>
        </w:rPr>
      </w:pPr>
      <w:r>
        <w:rPr>
          <w:rFonts w:hint="eastAsia"/>
          <w:b/>
        </w:rPr>
        <w:t>（注意：投标响应文件均需加盖投标单位公章，以下不再逐条款列示此项要求）</w:t>
      </w:r>
    </w:p>
    <w:p>
      <w:pPr>
        <w:pStyle w:val="5"/>
        <w:numPr>
          <w:ilvl w:val="0"/>
          <w:numId w:val="1"/>
        </w:numPr>
        <w:spacing w:line="360" w:lineRule="auto"/>
        <w:rPr>
          <w:rFonts w:hint="eastAsia"/>
          <w:b/>
        </w:rPr>
      </w:pPr>
      <w:r>
        <w:rPr>
          <w:rFonts w:hint="eastAsia"/>
          <w:b/>
        </w:rPr>
        <w:t>资质文件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①统一社会信用代码的新版营业执照副本复印件；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②法定代表人参加投标的，需提供法人身份证复印件；派授权人参加投标的，需提供法定代表人授权委托书及被授权人身份证复印件（附件3，格式见“第三章 投标文件编制”）；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经会计师事务所审计的近三年（2020年至今）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 应提供中文版本的审计报告或财务报表；②企业最近半年完税证明、信用证明材料（征信报告）；年度纳税信用评价信息（可从电子税务局查询截图，需加盖公章）；企业对外担保说明（写明贵单位对外有无对外担保和质押业务，需加盖公章）。</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④近六个月依法缴纳税收和社会保障资金的证明材料、年度纳税信用评价信息（可从电子税务局查询截图，需加盖公章）、企业对外担保说明（写明贵单位对外有无对外担保和质押业务，需加盖公章）；</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⑤近三年内在经营活动中没有违法违纪行为的声明；</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⑥投标单位在国家企业信用信息公示系统中无行政处罚、经营异常或失信信息或上述信息已被移除的声明。</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⑦投标保证金缴纳凭证。</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注：为防止丢失，上述资料资格审核时使用加盖单位公章的复印件，但相关原件仍需在评审现场提供；</w:t>
      </w:r>
    </w:p>
    <w:p>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lang w:val="en-US" w:eastAsia="zh-CN"/>
        </w:rPr>
      </w:pPr>
      <w:r>
        <w:rPr>
          <w:rFonts w:hint="eastAsia"/>
          <w:b/>
          <w:bCs/>
          <w:lang w:val="en-US" w:eastAsia="zh-CN"/>
        </w:rPr>
        <w:t>重要提示：</w:t>
      </w:r>
      <w:r>
        <w:rPr>
          <w:rFonts w:hint="eastAsia"/>
          <w:lang w:val="en-US" w:eastAsia="zh-CN"/>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（2）开标一览表</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开标一览表。（附件8，两份，单独密封）,</w:t>
      </w:r>
    </w:p>
    <w:p>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highlight w:val="none"/>
          <w:lang w:val="en-US" w:eastAsia="zh-CN"/>
        </w:rPr>
      </w:pPr>
      <w:r>
        <w:rPr>
          <w:rFonts w:hint="eastAsia"/>
          <w:b/>
          <w:bCs/>
          <w:lang w:val="en-US" w:eastAsia="zh-CN"/>
        </w:rPr>
        <w:t>（3）</w:t>
      </w:r>
      <w:r>
        <w:rPr>
          <w:rFonts w:hint="eastAsia"/>
          <w:b/>
          <w:bCs/>
          <w:highlight w:val="none"/>
          <w:lang w:val="en-US" w:eastAsia="zh-CN"/>
        </w:rPr>
        <w:t>商务文件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①投标函（附件2，格式见“第三章 投标文件编制”）；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②开标一览表（附件4，格式见“第三章 投标文件编制”）；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③商务标相关条款偏离表（附件6，格式见“第三章 投标文件编制”）；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④投标人认为需要提交的其它文件；</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lang w:val="en-US" w:eastAsia="zh-CN"/>
        </w:rPr>
      </w:pPr>
      <w:r>
        <w:rPr>
          <w:rFonts w:hint="eastAsia"/>
          <w:highlight w:val="none"/>
          <w:lang w:val="en-US" w:eastAsia="zh-CN"/>
        </w:rPr>
        <w:t>⑤报价明细表。</w:t>
      </w:r>
    </w:p>
    <w:p>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注：1、本次报价含报名、</w:t>
      </w:r>
      <w:r>
        <w:rPr>
          <w:rFonts w:hint="eastAsia"/>
          <w:b/>
          <w:bCs/>
          <w:highlight w:val="none"/>
          <w:lang w:val="en-US" w:eastAsia="zh-CN"/>
        </w:rPr>
        <w:t>考试</w:t>
      </w:r>
      <w:r>
        <w:rPr>
          <w:rFonts w:hint="eastAsia"/>
          <w:b/>
          <w:bCs/>
          <w:lang w:val="en-US" w:eastAsia="zh-CN"/>
        </w:rPr>
        <w:t>等一切衍生费用。</w:t>
      </w:r>
    </w:p>
    <w:p>
      <w:pPr>
        <w:pStyle w:val="5"/>
        <w:keepNext w:val="0"/>
        <w:keepLines w:val="0"/>
        <w:pageBreakBefore w:val="0"/>
        <w:widowControl w:val="0"/>
        <w:kinsoku/>
        <w:wordWrap/>
        <w:overflowPunct/>
        <w:topLinePunct w:val="0"/>
        <w:autoSpaceDE/>
        <w:autoSpaceDN/>
        <w:bidi w:val="0"/>
        <w:adjustRightInd/>
        <w:snapToGrid/>
        <w:ind w:firstLine="843" w:firstLineChars="400"/>
        <w:textAlignment w:val="auto"/>
        <w:rPr>
          <w:rFonts w:hint="default"/>
          <w:b/>
          <w:bCs/>
          <w:lang w:val="en-US" w:eastAsia="zh-CN"/>
        </w:rPr>
      </w:pPr>
      <w:r>
        <w:rPr>
          <w:rFonts w:hint="eastAsia"/>
          <w:b/>
          <w:bCs/>
          <w:lang w:val="en-US" w:eastAsia="zh-CN"/>
        </w:rPr>
        <w:t>2、报价税率为3%。</w:t>
      </w:r>
    </w:p>
    <w:p>
      <w:pPr>
        <w:pStyle w:val="5"/>
        <w:keepNext w:val="0"/>
        <w:keepLines w:val="0"/>
        <w:pageBreakBefore w:val="0"/>
        <w:widowControl w:val="0"/>
        <w:kinsoku/>
        <w:wordWrap/>
        <w:overflowPunct/>
        <w:topLinePunct w:val="0"/>
        <w:autoSpaceDE/>
        <w:autoSpaceDN/>
        <w:bidi w:val="0"/>
        <w:adjustRightInd/>
        <w:snapToGrid/>
        <w:ind w:firstLine="843" w:firstLineChars="400"/>
        <w:textAlignment w:val="auto"/>
        <w:rPr>
          <w:rFonts w:hint="eastAsia"/>
          <w:b/>
          <w:bCs/>
          <w:lang w:val="en-US" w:eastAsia="zh-CN"/>
        </w:rPr>
      </w:pPr>
      <w:r>
        <w:rPr>
          <w:rFonts w:hint="eastAsia"/>
          <w:b/>
          <w:bCs/>
          <w:lang w:val="en-US" w:eastAsia="zh-CN"/>
        </w:rPr>
        <w:t>3、可做正偏离，但不允许有低于本招标文件相关要求的情况出现，否则视为主动放弃本项目投标。</w:t>
      </w:r>
    </w:p>
    <w:p>
      <w:pPr>
        <w:pStyle w:val="5"/>
        <w:spacing w:line="360" w:lineRule="auto"/>
        <w:ind w:firstLine="422" w:firstLineChars="200"/>
        <w:rPr>
          <w:b/>
        </w:rPr>
      </w:pPr>
      <w:r>
        <w:rPr>
          <w:rFonts w:hint="eastAsia"/>
          <w:b/>
        </w:rPr>
        <w:t>2.投标文件的签署盖章、密封标记、附件格式：</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详见“第三章 投标文件编制”之相关要求。</w:t>
      </w:r>
    </w:p>
    <w:p>
      <w:pPr>
        <w:pStyle w:val="5"/>
        <w:spacing w:line="360" w:lineRule="auto"/>
        <w:ind w:firstLine="422" w:firstLineChars="150"/>
        <w:rPr>
          <w:rFonts w:hint="eastAsia"/>
          <w:lang w:val="en-US" w:eastAsia="zh-CN"/>
        </w:rPr>
      </w:pPr>
      <w:r>
        <w:rPr>
          <w:rFonts w:hint="eastAsia" w:ascii="黑体" w:hAnsi="黑体" w:eastAsia="黑体"/>
          <w:b/>
          <w:sz w:val="28"/>
          <w:szCs w:val="28"/>
        </w:rPr>
        <w:t>三、报价</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1.原则上招标人将与中标人签订为期一年的培训服务协议。鉴于此，投标人应酌情考虑总体的供货量，本着诚信合作的态度，向招标人提供真实、合理的投标报价。</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2.投标价格含合同签订的培训服务所产生的一切费用，包括人工、交通、材料、教材等所有费用。评标小组有权根据报价情况要求所有投标人进行澄清。</w:t>
      </w:r>
    </w:p>
    <w:p>
      <w:pPr>
        <w:pStyle w:val="5"/>
        <w:keepNext w:val="0"/>
        <w:keepLines w:val="0"/>
        <w:pageBreakBefore w:val="0"/>
        <w:widowControl w:val="0"/>
        <w:kinsoku/>
        <w:wordWrap/>
        <w:overflowPunct/>
        <w:topLinePunct w:val="0"/>
        <w:autoSpaceDE/>
        <w:autoSpaceDN/>
        <w:bidi w:val="0"/>
        <w:adjustRightInd/>
        <w:snapToGrid/>
        <w:ind w:left="210" w:leftChars="100" w:firstLine="210" w:firstLineChars="100"/>
        <w:textAlignment w:val="auto"/>
        <w:rPr>
          <w:rFonts w:hint="eastAsia"/>
          <w:lang w:val="en-US" w:eastAsia="zh-CN"/>
        </w:rPr>
      </w:pPr>
      <w:r>
        <w:rPr>
          <w:rFonts w:hint="eastAsia"/>
          <w:lang w:val="en-US" w:eastAsia="zh-CN"/>
        </w:rPr>
        <w:t>3.</w:t>
      </w:r>
      <w:r>
        <w:rPr>
          <w:rFonts w:hint="eastAsia"/>
          <w:highlight w:val="none"/>
          <w:lang w:val="en-US" w:eastAsia="zh-CN"/>
        </w:rPr>
        <w:t>标书内</w:t>
      </w:r>
      <w:r>
        <w:rPr>
          <w:rFonts w:hint="eastAsia"/>
          <w:lang w:val="en-US" w:eastAsia="zh-CN"/>
        </w:rPr>
        <w:t>报价货币单位为：元（人民币,包括含税价、不含税价及税率），</w:t>
      </w:r>
      <w:r>
        <w:rPr>
          <w:rFonts w:hint="eastAsia"/>
          <w:highlight w:val="none"/>
          <w:lang w:val="en-US" w:eastAsia="zh-CN"/>
        </w:rPr>
        <w:t>重汽e采通内报价货币单位为：万元（人民币,包括含税价、不含税价及税率）。</w:t>
      </w:r>
      <w:r>
        <w:rPr>
          <w:rFonts w:hint="eastAsia"/>
          <w:lang w:val="en-US" w:eastAsia="zh-CN"/>
        </w:rPr>
        <w:t>供应商投标最高限价48.98万元（含税）。</w:t>
      </w:r>
    </w:p>
    <w:p>
      <w:pPr>
        <w:pStyle w:val="5"/>
        <w:ind w:firstLine="420" w:firstLineChars="200"/>
        <w:rPr>
          <w:rFonts w:hint="eastAsia"/>
        </w:rPr>
      </w:pPr>
      <w:r>
        <w:t>4</w:t>
      </w:r>
      <w:r>
        <w:rPr>
          <w:rFonts w:hint="eastAsia"/>
        </w:rPr>
        <w:t>.结算方式：</w:t>
      </w:r>
      <w:r>
        <w:rPr>
          <w:rFonts w:hint="eastAsia"/>
          <w:b/>
        </w:rPr>
        <w:t>半年期商业汇票支付</w:t>
      </w:r>
      <w:r>
        <w:rPr>
          <w:rFonts w:hint="eastAsia" w:hAnsi="宋体"/>
        </w:rPr>
        <w:t>（包括银行承兑汇票和商业承兑汇票）</w:t>
      </w:r>
      <w:r>
        <w:rPr>
          <w:rFonts w:hint="eastAsia"/>
        </w:rPr>
        <w:t>（需按招标人需求，开具相关税率的增值税专用发票）。</w:t>
      </w:r>
    </w:p>
    <w:p>
      <w:pPr>
        <w:pStyle w:val="5"/>
        <w:ind w:firstLine="422" w:firstLineChars="200"/>
        <w:rPr>
          <w:rFonts w:hAnsi="宋体"/>
          <w:b/>
        </w:rPr>
      </w:pPr>
      <w:r>
        <w:rPr>
          <w:rFonts w:hint="eastAsia" w:hAnsi="宋体"/>
          <w:b/>
        </w:rPr>
        <w:t>注：</w:t>
      </w:r>
    </w:p>
    <w:p>
      <w:pPr>
        <w:pStyle w:val="5"/>
        <w:ind w:firstLine="420" w:firstLineChars="200"/>
      </w:pPr>
      <w:r>
        <w:rPr>
          <w:rFonts w:hint="eastAsia"/>
        </w:rPr>
        <w:t>（1）如投标人不认可、不接受使用银行承兑汇票用于费用结算，则须在本招标书“第三章 投标文件编制”之附件4“开标一览表”中注明，招标人将视之为主动弃标；</w:t>
      </w:r>
    </w:p>
    <w:p>
      <w:pPr>
        <w:pStyle w:val="5"/>
        <w:ind w:firstLine="420" w:firstLineChars="200"/>
      </w:pPr>
      <w:r>
        <w:rPr>
          <w:rFonts w:hint="eastAsia"/>
          <w:szCs w:val="22"/>
        </w:rPr>
        <w:t>（2）</w:t>
      </w:r>
      <w:r>
        <w:rPr>
          <w:rFonts w:hint="eastAsia"/>
        </w:rPr>
        <w:t>投标人应对项目内招标的全部内容进行报价，不允许挑项报价、空项报价，否则视为主动弃标。</w:t>
      </w:r>
    </w:p>
    <w:p>
      <w:pPr>
        <w:pStyle w:val="5"/>
        <w:spacing w:line="360" w:lineRule="auto"/>
        <w:ind w:firstLine="422" w:firstLineChars="150"/>
        <w:rPr>
          <w:rFonts w:hint="eastAsia" w:ascii="黑体" w:hAnsi="黑体" w:eastAsia="黑体"/>
          <w:b/>
          <w:sz w:val="28"/>
          <w:szCs w:val="28"/>
          <w:highlight w:val="none"/>
        </w:rPr>
      </w:pPr>
      <w:r>
        <w:rPr>
          <w:rFonts w:hint="eastAsia" w:ascii="黑体" w:hAnsi="黑体" w:eastAsia="黑体"/>
          <w:b/>
          <w:sz w:val="28"/>
          <w:szCs w:val="28"/>
          <w:highlight w:val="none"/>
        </w:rPr>
        <w:t>四、评标流程</w:t>
      </w:r>
    </w:p>
    <w:p>
      <w:pPr>
        <w:pStyle w:val="5"/>
        <w:ind w:firstLine="422" w:firstLineChars="200"/>
        <w:rPr>
          <w:rFonts w:hint="eastAsia"/>
          <w:b/>
          <w:bCs/>
        </w:rPr>
      </w:pPr>
      <w:r>
        <w:rPr>
          <w:rFonts w:hint="eastAsia"/>
          <w:b/>
          <w:bCs/>
        </w:rPr>
        <w:t>1.资格审核：</w:t>
      </w:r>
    </w:p>
    <w:p>
      <w:pPr>
        <w:pStyle w:val="5"/>
        <w:ind w:firstLine="420" w:firstLineChars="200"/>
        <w:rPr>
          <w:rFonts w:hint="eastAsia"/>
        </w:rPr>
      </w:pPr>
      <w:r>
        <w:rPr>
          <w:rFonts w:hint="eastAsia"/>
        </w:rPr>
        <w:t>⑴审核依据：“第二章  投标人须知”中以下条款中的要求</w:t>
      </w:r>
    </w:p>
    <w:p>
      <w:pPr>
        <w:pStyle w:val="5"/>
        <w:ind w:firstLine="420" w:firstLineChars="200"/>
        <w:rPr>
          <w:rFonts w:hint="eastAsia"/>
        </w:rPr>
      </w:pPr>
      <w:r>
        <w:rPr>
          <w:rFonts w:hint="eastAsia"/>
        </w:rPr>
        <w:t>①“一、合格投标人”；</w:t>
      </w:r>
    </w:p>
    <w:p>
      <w:pPr>
        <w:pStyle w:val="5"/>
        <w:ind w:firstLine="420" w:firstLineChars="200"/>
        <w:rPr>
          <w:rFonts w:hint="eastAsia"/>
        </w:rPr>
      </w:pPr>
      <w:r>
        <w:rPr>
          <w:rFonts w:hint="eastAsia"/>
        </w:rPr>
        <w:t>②“二、投标响应文件要求”之“1.⑴资质文件”；</w:t>
      </w:r>
    </w:p>
    <w:p>
      <w:pPr>
        <w:pStyle w:val="5"/>
        <w:ind w:firstLine="420" w:firstLineChars="200"/>
        <w:rPr>
          <w:rFonts w:hint="eastAsia"/>
        </w:rPr>
      </w:pPr>
      <w:r>
        <w:rPr>
          <w:rFonts w:hint="eastAsia"/>
        </w:rPr>
        <w:t>⑵审核方法：</w:t>
      </w:r>
    </w:p>
    <w:p>
      <w:pPr>
        <w:pStyle w:val="5"/>
        <w:ind w:firstLine="420" w:firstLineChars="200"/>
        <w:rPr>
          <w:rFonts w:hint="eastAsia"/>
          <w:lang w:val="en-US" w:eastAsia="zh-CN"/>
        </w:rPr>
      </w:pPr>
      <w:r>
        <w:rPr>
          <w:rFonts w:hint="eastAsia"/>
          <w:lang w:val="en-US" w:eastAsia="zh-CN"/>
        </w:rPr>
        <w:t>开标前项目实施单位完成投标人资质审核工作，确保投标人满足招标文件相关要求，出具资质审核报告，向技术标专家组推荐审核通过的投标人。资格审核中所列示的所有条款均属于否决项，对于任意一项或多项未达到资格审核要求的投标人，视为主动放弃投标，该投标人将不能进入后续的评标程序。对于未通过资格审核要求的投标人，不做任何解释。通知未审核通过的投标人离场，投标书不可带走。</w:t>
      </w:r>
    </w:p>
    <w:p>
      <w:pPr>
        <w:pStyle w:val="5"/>
        <w:numPr>
          <w:ilvl w:val="0"/>
          <w:numId w:val="0"/>
        </w:numPr>
        <w:spacing w:line="360" w:lineRule="auto"/>
        <w:ind w:firstLine="422" w:firstLineChars="200"/>
        <w:rPr>
          <w:rFonts w:hint="eastAsia" w:hAnsi="宋体"/>
          <w:szCs w:val="21"/>
        </w:rPr>
      </w:pPr>
      <w:r>
        <w:rPr>
          <w:rFonts w:hint="eastAsia"/>
          <w:b/>
          <w:bCs w:val="0"/>
          <w:lang w:val="en-US" w:eastAsia="zh-CN"/>
        </w:rPr>
        <w:t>2.</w:t>
      </w:r>
      <w:r>
        <w:rPr>
          <w:rFonts w:hint="eastAsia"/>
          <w:b/>
        </w:rPr>
        <w:t>评标：</w:t>
      </w:r>
    </w:p>
    <w:p>
      <w:pPr>
        <w:pStyle w:val="5"/>
        <w:ind w:firstLine="420" w:firstLineChars="200"/>
        <w:rPr>
          <w:rFonts w:hint="eastAsia"/>
        </w:rPr>
      </w:pPr>
      <w:r>
        <w:rPr>
          <w:rFonts w:hint="eastAsia"/>
          <w:lang w:val="en-US" w:eastAsia="zh-CN"/>
        </w:rPr>
        <w:t>2.1</w:t>
      </w:r>
      <w:r>
        <w:rPr>
          <w:rFonts w:hint="eastAsia"/>
        </w:rPr>
        <w:t>应标资格审查：在“中国重汽e采通”应标时，按照第二部分投标人须知文件中资格证明材料准备相关资料，上传完毕后，等待审核；</w:t>
      </w:r>
    </w:p>
    <w:p>
      <w:pPr>
        <w:pStyle w:val="5"/>
        <w:ind w:firstLine="420" w:firstLineChars="200"/>
        <w:rPr>
          <w:rFonts w:hint="eastAsia"/>
        </w:rPr>
      </w:pPr>
      <w:r>
        <w:rPr>
          <w:rFonts w:hint="eastAsia"/>
          <w:lang w:val="en-US" w:eastAsia="zh-CN"/>
        </w:rPr>
        <w:t>2.2</w:t>
      </w:r>
      <w:r>
        <w:rPr>
          <w:rFonts w:hint="eastAsia"/>
        </w:rPr>
        <w:t>通过应标资格审查的单位进入投标环节，按照“SRM系统供应商用户手册”，在重汽e采通平台投递电子标书（包含资质标、商务标），没有通过应标资质审查的单位不能进入投标环节；</w:t>
      </w:r>
    </w:p>
    <w:p>
      <w:pPr>
        <w:pStyle w:val="5"/>
        <w:ind w:firstLine="420" w:firstLineChars="200"/>
        <w:rPr>
          <w:rFonts w:hint="eastAsia"/>
        </w:rPr>
      </w:pPr>
      <w:r>
        <w:rPr>
          <w:rFonts w:hint="eastAsia"/>
          <w:lang w:val="en-US" w:eastAsia="zh-CN"/>
        </w:rPr>
        <w:t>2.3</w:t>
      </w:r>
      <w:r>
        <w:rPr>
          <w:rFonts w:hint="eastAsia"/>
        </w:rPr>
        <w:t>由招标人为该项目依法组织的、由</w:t>
      </w:r>
      <w:r>
        <w:rPr>
          <w:rFonts w:hint="eastAsia"/>
          <w:lang w:val="en-US" w:eastAsia="zh-CN"/>
        </w:rPr>
        <w:t>三</w:t>
      </w:r>
      <w:r>
        <w:rPr>
          <w:rFonts w:hint="eastAsia"/>
        </w:rPr>
        <w:t>人及以上单数成员组成的评标工作小组负责，</w:t>
      </w:r>
      <w:r>
        <w:rPr>
          <w:rFonts w:hint="eastAsia"/>
          <w:lang w:val="en-US" w:eastAsia="zh-CN"/>
        </w:rPr>
        <w:t>采用</w:t>
      </w:r>
      <w:r>
        <w:rPr>
          <w:rFonts w:hint="eastAsia"/>
        </w:rPr>
        <w:t>合理最低价</w:t>
      </w:r>
      <w:r>
        <w:rPr>
          <w:rFonts w:hint="eastAsia"/>
          <w:lang w:val="en-US" w:eastAsia="zh-CN"/>
        </w:rPr>
        <w:t>方式进行</w:t>
      </w:r>
      <w:r>
        <w:rPr>
          <w:rFonts w:hint="eastAsia"/>
        </w:rPr>
        <w:t xml:space="preserve">评审。 </w:t>
      </w:r>
    </w:p>
    <w:p>
      <w:pPr>
        <w:pStyle w:val="5"/>
        <w:ind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开标：经资质审查通过后，先进行开唱标工作，并统一报价要求：按照项目预算审批明细清单及技术配置要求细化总报价以及分解报价。 </w:t>
      </w:r>
    </w:p>
    <w:p>
      <w:pPr>
        <w:pStyle w:val="5"/>
        <w:ind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 xml:space="preserve">评标 </w:t>
      </w:r>
    </w:p>
    <w:p>
      <w:pPr>
        <w:pStyle w:val="5"/>
        <w:ind w:firstLine="420" w:firstLineChars="200"/>
        <w:rPr>
          <w:rFonts w:hint="eastAsia"/>
        </w:rPr>
      </w:pPr>
      <w:r>
        <w:rPr>
          <w:rFonts w:hint="eastAsia"/>
          <w:lang w:val="en-US" w:eastAsia="zh-CN"/>
        </w:rPr>
        <w:t xml:space="preserve">商务标：有效投标人在其开标报价的基础上开展至少3轮商务谈判，确定推荐中标人。原则上按照评标合理最低价选择中标人。 </w:t>
      </w:r>
    </w:p>
    <w:p>
      <w:pPr>
        <w:pStyle w:val="5"/>
        <w:ind w:firstLine="420" w:firstLineChars="200"/>
        <w:rPr>
          <w:rFonts w:hint="eastAsia"/>
        </w:rPr>
      </w:pPr>
      <w:r>
        <w:rPr>
          <w:rFonts w:hint="eastAsia"/>
          <w:lang w:val="en-US" w:eastAsia="zh-CN"/>
        </w:rPr>
        <w:t xml:space="preserve"> </w:t>
      </w:r>
      <w:r>
        <w:rPr>
          <w:rFonts w:hint="eastAsia"/>
        </w:rPr>
        <w:t>注意：投标人均需自带笔记本电脑在重汽e采通平台自主进行投标和提交澄清函；投标和提交澄清函均有时间限制，超时未提交的按无效处理。</w:t>
      </w:r>
    </w:p>
    <w:p>
      <w:pPr>
        <w:pStyle w:val="5"/>
        <w:ind w:firstLine="420" w:firstLineChars="200"/>
        <w:rPr>
          <w:rFonts w:hint="eastAsia"/>
        </w:rPr>
      </w:pPr>
      <w:r>
        <w:rPr>
          <w:rFonts w:hint="eastAsia"/>
          <w:lang w:val="en-US" w:eastAsia="zh-CN"/>
        </w:rPr>
        <w:t>2.4</w:t>
      </w:r>
      <w:r>
        <w:rPr>
          <w:rFonts w:hint="eastAsia"/>
        </w:rPr>
        <w:t>中标人确定：原则上</w:t>
      </w:r>
      <w:r>
        <w:rPr>
          <w:rFonts w:hint="eastAsia"/>
          <w:lang w:eastAsia="zh-CN"/>
        </w:rPr>
        <w:t>以总价</w:t>
      </w:r>
      <w:r>
        <w:rPr>
          <w:rFonts w:hint="eastAsia"/>
        </w:rPr>
        <w:t>合理最低价中标。</w:t>
      </w:r>
    </w:p>
    <w:p>
      <w:pPr>
        <w:pStyle w:val="5"/>
        <w:ind w:firstLine="420" w:firstLineChars="200"/>
        <w:rPr>
          <w:rFonts w:hint="eastAsia"/>
        </w:rPr>
      </w:pPr>
      <w:r>
        <w:rPr>
          <w:rFonts w:hint="eastAsia"/>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pPr>
        <w:pStyle w:val="5"/>
        <w:ind w:firstLine="420" w:firstLineChars="200"/>
        <w:rPr>
          <w:rFonts w:hint="eastAsia"/>
        </w:rPr>
      </w:pPr>
      <w:r>
        <w:rPr>
          <w:rFonts w:hint="eastAsia"/>
        </w:rPr>
        <w:t>拟投标单位投标前请按照标书技术要求对项目方案进行充分准备，有意投标的单位应默认认同上述开标、评标过程，无异议。</w:t>
      </w:r>
    </w:p>
    <w:p>
      <w:pPr>
        <w:pStyle w:val="5"/>
        <w:spacing w:line="360" w:lineRule="auto"/>
      </w:pPr>
      <w:r>
        <w:rPr>
          <w:rFonts w:hint="eastAsia" w:ascii="黑体" w:eastAsia="黑体"/>
          <w:b/>
          <w:bCs/>
          <w:sz w:val="28"/>
          <w:lang w:val="en-US" w:eastAsia="zh-CN"/>
        </w:rPr>
        <w:t>五</w:t>
      </w:r>
      <w:r>
        <w:rPr>
          <w:rFonts w:hint="eastAsia" w:ascii="黑体" w:eastAsia="黑体"/>
          <w:b/>
          <w:bCs/>
          <w:sz w:val="28"/>
        </w:rPr>
        <w:t>、协议签订</w:t>
      </w:r>
    </w:p>
    <w:p>
      <w:pPr>
        <w:pStyle w:val="5"/>
        <w:ind w:firstLine="420" w:firstLineChars="200"/>
        <w:rPr>
          <w:rFonts w:hint="eastAsia"/>
          <w:lang w:val="en-US" w:eastAsia="zh-CN"/>
        </w:rPr>
      </w:pPr>
      <w:r>
        <w:rPr>
          <w:rFonts w:hint="eastAsia"/>
          <w:lang w:val="en-US" w:eastAsia="zh-CN"/>
        </w:rPr>
        <w:t>1.招标人发送《中标通知书》给中标人，中标人应及时与招标人联系，在规定的时间内（一般为接到通知后3个工作日内）到招标单位对《中标人推荐表》进行签字确认。</w:t>
      </w:r>
    </w:p>
    <w:p>
      <w:pPr>
        <w:pStyle w:val="5"/>
        <w:ind w:firstLine="420" w:firstLineChars="200"/>
        <w:rPr>
          <w:rFonts w:hint="eastAsia"/>
          <w:lang w:val="en-US" w:eastAsia="zh-CN"/>
        </w:rPr>
      </w:pPr>
      <w:r>
        <w:rPr>
          <w:rFonts w:hint="eastAsia"/>
          <w:lang w:val="en-US" w:eastAsia="zh-CN"/>
        </w:rPr>
        <w:t>2. 如果中标人接到《中标通知书》后，无正当理由拒签协议、或在签订协议时向招标人协议签订单位提出无理附加条件的，招标人有权取消其中标资格。</w:t>
      </w:r>
    </w:p>
    <w:p>
      <w:pPr>
        <w:pStyle w:val="5"/>
        <w:ind w:firstLine="420" w:firstLineChars="200"/>
        <w:rPr>
          <w:rFonts w:hint="eastAsia"/>
          <w:lang w:val="en-US" w:eastAsia="zh-CN"/>
        </w:rPr>
      </w:pPr>
      <w:r>
        <w:rPr>
          <w:rFonts w:hint="eastAsia"/>
          <w:lang w:val="en-US" w:eastAsia="zh-CN"/>
        </w:rPr>
        <w:t>3.中标人如将中标项目转包或分包给他人、或者履行协议的能力或信用有严重缺陷的，招标人有权取消其中标资格并解除协议。</w:t>
      </w:r>
    </w:p>
    <w:p>
      <w:pPr>
        <w:pStyle w:val="5"/>
        <w:ind w:firstLine="420" w:firstLineChars="200"/>
        <w:rPr>
          <w:rFonts w:hint="eastAsia"/>
          <w:lang w:val="en-US" w:eastAsia="zh-CN"/>
        </w:rPr>
      </w:pPr>
      <w:r>
        <w:rPr>
          <w:rFonts w:hint="eastAsia"/>
          <w:lang w:val="en-US" w:eastAsia="zh-CN"/>
        </w:rPr>
        <w:t>4.被取消中标资格的投标人，2年内不得参与招标人同类的招投标项目；招标人将按照评标结果排名顺序递补符合条件的中标人，或重新组织招标。</w:t>
      </w:r>
    </w:p>
    <w:p>
      <w:pPr>
        <w:pStyle w:val="5"/>
        <w:ind w:firstLine="420" w:firstLineChars="200"/>
        <w:rPr>
          <w:rFonts w:hint="eastAsia"/>
        </w:rPr>
      </w:pPr>
      <w:r>
        <w:rPr>
          <w:rFonts w:hint="eastAsia"/>
          <w:lang w:val="en-US" w:eastAsia="zh-CN"/>
        </w:rPr>
        <w:t>5.中标人须认可由于招标人政策变化引起的合同签订前终止项目的要求。</w:t>
      </w:r>
    </w:p>
    <w:p>
      <w:pPr>
        <w:pStyle w:val="5"/>
        <w:spacing w:line="360" w:lineRule="auto"/>
        <w:rPr>
          <w:rFonts w:ascii="黑体" w:hAnsi="黑体" w:eastAsia="黑体"/>
          <w:b/>
          <w:sz w:val="28"/>
          <w:szCs w:val="28"/>
        </w:rPr>
      </w:pPr>
      <w:r>
        <w:rPr>
          <w:rFonts w:hint="eastAsia" w:ascii="黑体" w:hAnsi="黑体" w:eastAsia="黑体"/>
          <w:b/>
          <w:sz w:val="28"/>
          <w:szCs w:val="28"/>
          <w:lang w:val="en-US" w:eastAsia="zh-CN"/>
        </w:rPr>
        <w:t>六</w:t>
      </w:r>
      <w:r>
        <w:rPr>
          <w:rFonts w:hint="eastAsia" w:ascii="黑体" w:hAnsi="黑体" w:eastAsia="黑体"/>
          <w:b/>
          <w:sz w:val="28"/>
          <w:szCs w:val="28"/>
        </w:rPr>
        <w:t>、中标人瑕疵滞后发现的处理原则</w:t>
      </w:r>
    </w:p>
    <w:p>
      <w:pPr>
        <w:pStyle w:val="5"/>
        <w:ind w:firstLine="420" w:firstLineChars="200"/>
        <w:rPr>
          <w:rFonts w:hint="eastAsia"/>
          <w:lang w:val="en-US" w:eastAsia="zh-CN"/>
        </w:rPr>
      </w:pPr>
      <w:r>
        <w:rPr>
          <w:rFonts w:hint="eastAsia"/>
          <w:lang w:val="en-US" w:eastAsia="zh-CN"/>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pPr>
        <w:pStyle w:val="5"/>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废标及终止招标</w:t>
      </w:r>
    </w:p>
    <w:p>
      <w:pPr>
        <w:pStyle w:val="5"/>
        <w:ind w:firstLine="420" w:firstLineChars="200"/>
        <w:rPr>
          <w:rFonts w:hint="eastAsia"/>
          <w:lang w:val="en-US" w:eastAsia="zh-CN"/>
        </w:rPr>
      </w:pPr>
      <w:r>
        <w:rPr>
          <w:rFonts w:hint="eastAsia"/>
          <w:lang w:val="en-US" w:eastAsia="zh-CN"/>
        </w:rPr>
        <w:t>出现下列情形之一，招标人有权否决所有投标人的投标，并终止招标。</w:t>
      </w:r>
    </w:p>
    <w:p>
      <w:pPr>
        <w:pStyle w:val="5"/>
        <w:ind w:firstLine="420" w:firstLineChars="200"/>
        <w:rPr>
          <w:rFonts w:hint="eastAsia"/>
          <w:lang w:val="en-US" w:eastAsia="zh-CN"/>
        </w:rPr>
      </w:pPr>
      <w:r>
        <w:rPr>
          <w:rFonts w:hint="eastAsia"/>
          <w:lang w:val="en-US" w:eastAsia="zh-CN"/>
        </w:rPr>
        <w:t>⑴有效投标不足三家；</w:t>
      </w:r>
    </w:p>
    <w:p>
      <w:pPr>
        <w:pStyle w:val="5"/>
        <w:ind w:firstLine="420" w:firstLineChars="200"/>
        <w:rPr>
          <w:rFonts w:hint="eastAsia"/>
          <w:lang w:val="en-US" w:eastAsia="zh-CN"/>
        </w:rPr>
      </w:pPr>
      <w:r>
        <w:rPr>
          <w:rFonts w:hint="eastAsia"/>
          <w:lang w:val="en-US" w:eastAsia="zh-CN"/>
        </w:rPr>
        <w:t>⑵出现影响采购公正的违法、违规行为的；</w:t>
      </w:r>
    </w:p>
    <w:p>
      <w:pPr>
        <w:pStyle w:val="5"/>
        <w:ind w:firstLine="420" w:firstLineChars="200"/>
        <w:rPr>
          <w:rFonts w:hint="eastAsia"/>
          <w:lang w:val="en-US" w:eastAsia="zh-CN"/>
        </w:rPr>
      </w:pPr>
      <w:r>
        <w:rPr>
          <w:rFonts w:hint="eastAsia"/>
          <w:lang w:val="en-US" w:eastAsia="zh-CN"/>
        </w:rPr>
        <w:t>⑶评标委员会经评审，认为所有投标都不符合招标文件要求的；</w:t>
      </w:r>
    </w:p>
    <w:p>
      <w:pPr>
        <w:pStyle w:val="5"/>
        <w:ind w:firstLine="420" w:firstLineChars="200"/>
        <w:rPr>
          <w:rFonts w:hint="eastAsia"/>
          <w:lang w:val="en-US" w:eastAsia="zh-CN"/>
        </w:rPr>
      </w:pPr>
      <w:r>
        <w:rPr>
          <w:rFonts w:hint="eastAsia"/>
          <w:lang w:val="en-US" w:eastAsia="zh-CN"/>
        </w:rPr>
        <w:t>⑷因重大变故，采购任务取消的。</w:t>
      </w:r>
    </w:p>
    <w:p>
      <w:pPr>
        <w:pStyle w:val="5"/>
        <w:ind w:firstLine="420" w:firstLineChars="200"/>
        <w:rPr>
          <w:rFonts w:hint="eastAsia"/>
          <w:lang w:val="en-US" w:eastAsia="zh-CN"/>
        </w:rPr>
      </w:pPr>
      <w:r>
        <w:rPr>
          <w:rFonts w:hint="eastAsia"/>
          <w:lang w:val="en-US" w:eastAsia="zh-CN"/>
        </w:rPr>
        <w:t>⑸招标人认为其他应终止招标的情形。</w:t>
      </w:r>
    </w:p>
    <w:p>
      <w:pPr>
        <w:spacing w:line="520" w:lineRule="exact"/>
        <w:ind w:right="2"/>
        <w:rPr>
          <w:rFonts w:ascii="黑体" w:hAnsi="黑体" w:eastAsia="黑体"/>
          <w:b/>
          <w:sz w:val="28"/>
          <w:szCs w:val="28"/>
        </w:rPr>
      </w:pPr>
      <w:r>
        <w:rPr>
          <w:rFonts w:hint="eastAsia" w:ascii="黑体" w:hAnsi="黑体" w:eastAsia="黑体"/>
          <w:b/>
          <w:sz w:val="28"/>
          <w:szCs w:val="28"/>
        </w:rPr>
        <w:t>九、其他</w:t>
      </w:r>
    </w:p>
    <w:p>
      <w:pPr>
        <w:pStyle w:val="5"/>
        <w:ind w:firstLine="420" w:firstLineChars="200"/>
        <w:rPr>
          <w:rFonts w:hint="eastAsia"/>
          <w:lang w:val="en-US" w:eastAsia="zh-CN"/>
        </w:rPr>
      </w:pPr>
      <w:r>
        <w:rPr>
          <w:rFonts w:hint="eastAsia"/>
          <w:lang w:val="en-US" w:eastAsia="zh-CN"/>
        </w:rPr>
        <w:t>1.其余未尽事宜均以协议（或合同）约定为准。</w:t>
      </w:r>
    </w:p>
    <w:p>
      <w:pPr>
        <w:pStyle w:val="5"/>
        <w:ind w:firstLine="420" w:firstLineChars="200"/>
        <w:rPr>
          <w:rFonts w:hint="eastAsia"/>
          <w:lang w:val="en-US" w:eastAsia="zh-CN"/>
        </w:rPr>
      </w:pPr>
      <w:r>
        <w:rPr>
          <w:rFonts w:hint="eastAsia"/>
          <w:lang w:val="en-US" w:eastAsia="zh-CN"/>
        </w:rPr>
        <w:t>2.要求招标人或相关合同签订单位提供的配合，在标书文件中说明。</w:t>
      </w:r>
    </w:p>
    <w:p>
      <w:pPr>
        <w:pStyle w:val="5"/>
        <w:ind w:firstLine="420" w:firstLineChars="200"/>
        <w:rPr>
          <w:rFonts w:hint="eastAsia"/>
          <w:lang w:val="en-US" w:eastAsia="zh-CN"/>
        </w:rPr>
      </w:pPr>
      <w:r>
        <w:rPr>
          <w:rFonts w:hint="eastAsia"/>
          <w:lang w:val="en-US" w:eastAsia="zh-CN"/>
        </w:rPr>
        <w:t>3.凡对本次招标提出的问询，均以招标人的书面答复为准。招标人的任何工作人员对投标人所作的任何口头解释、介绍、答复，对招标人和投标人均无任何约束力。</w:t>
      </w:r>
    </w:p>
    <w:p>
      <w:pPr>
        <w:pStyle w:val="5"/>
        <w:ind w:firstLine="420" w:firstLineChars="200"/>
        <w:rPr>
          <w:rFonts w:hint="eastAsia"/>
          <w:lang w:val="en-US" w:eastAsia="zh-CN"/>
        </w:rPr>
      </w:pPr>
      <w:r>
        <w:rPr>
          <w:rFonts w:hint="eastAsia"/>
          <w:lang w:val="en-US" w:eastAsia="zh-CN"/>
        </w:rPr>
        <w:t>4.投标人应承担所有与准备和参加投标有关的全部费用，包含但不限于专家评估费用或投标过程中的产生的其他各项费用，招标人在任何情况下均无义务和责任承担此费用。</w:t>
      </w:r>
    </w:p>
    <w:p>
      <w:pPr>
        <w:pStyle w:val="5"/>
        <w:spacing w:line="360" w:lineRule="auto"/>
        <w:rPr>
          <w:rFonts w:hint="eastAsia" w:ascii="黑体" w:eastAsia="黑体"/>
          <w:b/>
          <w:bCs/>
          <w:sz w:val="28"/>
        </w:rPr>
      </w:pPr>
      <w:r>
        <w:rPr>
          <w:rFonts w:hint="eastAsia" w:ascii="黑体" w:eastAsia="黑体"/>
          <w:b/>
          <w:bCs/>
          <w:sz w:val="28"/>
        </w:rPr>
        <w:t>十、本次招标最终解释权归中国重型汽车集团有限公司。</w:t>
      </w: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numPr>
          <w:ilvl w:val="0"/>
          <w:numId w:val="2"/>
        </w:numPr>
        <w:spacing w:before="156" w:beforeLines="50" w:after="312" w:afterLines="100"/>
        <w:jc w:val="center"/>
        <w:outlineLvl w:val="0"/>
        <w:rPr>
          <w:rFonts w:hAnsi="宋体"/>
          <w:b/>
          <w:bCs/>
          <w:sz w:val="36"/>
          <w:szCs w:val="36"/>
        </w:rPr>
      </w:pPr>
      <w:r>
        <w:rPr>
          <w:rFonts w:hint="eastAsia" w:eastAsia="黑体"/>
          <w:b/>
          <w:bCs/>
          <w:sz w:val="36"/>
          <w:szCs w:val="36"/>
        </w:rPr>
        <w:t xml:space="preserve"> 投标文件编制</w:t>
      </w:r>
    </w:p>
    <w:p>
      <w:pPr>
        <w:pStyle w:val="5"/>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一、投标文件的签署盖章</w:t>
      </w:r>
    </w:p>
    <w:p>
      <w:pPr>
        <w:pStyle w:val="5"/>
        <w:ind w:firstLine="420" w:firstLineChars="200"/>
        <w:rPr>
          <w:rFonts w:hint="eastAsia"/>
          <w:lang w:val="en-US" w:eastAsia="zh-CN"/>
        </w:rPr>
      </w:pPr>
      <w:r>
        <w:rPr>
          <w:rFonts w:hint="eastAsia"/>
          <w:lang w:val="en-US" w:eastAsia="zh-CN"/>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pPr>
        <w:pStyle w:val="5"/>
        <w:ind w:firstLine="420" w:firstLineChars="200"/>
        <w:rPr>
          <w:rFonts w:hint="eastAsia"/>
          <w:lang w:val="en-US" w:eastAsia="zh-CN"/>
        </w:rPr>
      </w:pPr>
      <w:r>
        <w:rPr>
          <w:rFonts w:hint="eastAsia"/>
          <w:lang w:val="en-US" w:eastAsia="zh-CN"/>
        </w:rPr>
        <w:t>2.任何行间插字、涂改和增删，必须由投标人的法定代表人或授权代表签字并加盖公章后才有效。</w:t>
      </w:r>
    </w:p>
    <w:p>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二、投标文件的密封标记</w:t>
      </w:r>
    </w:p>
    <w:p>
      <w:pPr>
        <w:pStyle w:val="5"/>
        <w:spacing w:line="360" w:lineRule="auto"/>
        <w:rPr>
          <w:rFonts w:hAnsi="宋体"/>
          <w:b/>
        </w:rPr>
      </w:pPr>
      <w:r>
        <w:rPr>
          <w:rFonts w:hint="eastAsia" w:ascii="黑体" w:hAnsi="黑体" w:eastAsia="黑体"/>
          <w:b/>
          <w:bCs/>
          <w:sz w:val="28"/>
          <w:szCs w:val="28"/>
        </w:rPr>
        <w:t xml:space="preserve">   </w:t>
      </w:r>
      <w:r>
        <w:rPr>
          <w:rFonts w:hint="eastAsia" w:hAnsi="宋体"/>
          <w:b/>
        </w:rPr>
        <w:t>1.需单独密封的文件</w:t>
      </w:r>
    </w:p>
    <w:p>
      <w:pPr>
        <w:pStyle w:val="5"/>
        <w:ind w:firstLine="420" w:firstLineChars="200"/>
        <w:rPr>
          <w:rFonts w:hint="eastAsia"/>
          <w:lang w:val="en-US" w:eastAsia="zh-CN"/>
        </w:rPr>
      </w:pPr>
      <w:r>
        <w:rPr>
          <w:rFonts w:hint="eastAsia"/>
          <w:lang w:val="en-US" w:eastAsia="zh-CN"/>
        </w:rPr>
        <w:t>⑴资质文件（内装2份）</w:t>
      </w:r>
    </w:p>
    <w:p>
      <w:pPr>
        <w:pStyle w:val="5"/>
        <w:ind w:firstLine="420" w:firstLineChars="200"/>
        <w:rPr>
          <w:rFonts w:hint="default"/>
          <w:highlight w:val="none"/>
          <w:lang w:val="en-US" w:eastAsia="zh-CN"/>
        </w:rPr>
      </w:pPr>
      <w:r>
        <w:rPr>
          <w:rFonts w:hint="eastAsia"/>
          <w:lang w:val="en-US" w:eastAsia="zh-CN"/>
        </w:rPr>
        <w:t>⑵开标一览表（内装2份、</w:t>
      </w:r>
      <w:r>
        <w:rPr>
          <w:rFonts w:hint="eastAsia"/>
          <w:highlight w:val="none"/>
          <w:lang w:val="en-US" w:eastAsia="zh-CN"/>
        </w:rPr>
        <w:t>单独密封一份、与商务标一起密封一份）</w:t>
      </w:r>
    </w:p>
    <w:p>
      <w:pPr>
        <w:pStyle w:val="5"/>
        <w:ind w:firstLine="420" w:firstLineChars="200"/>
        <w:rPr>
          <w:rFonts w:hint="eastAsia"/>
          <w:lang w:val="en-US" w:eastAsia="zh-CN"/>
        </w:rPr>
      </w:pPr>
      <w:r>
        <w:rPr>
          <w:rFonts w:hint="eastAsia"/>
          <w:lang w:val="en-US" w:eastAsia="zh-CN"/>
        </w:rPr>
        <w:t>⑶商务标书（内装1正、2副、U盘-电子版）</w:t>
      </w:r>
    </w:p>
    <w:p>
      <w:pPr>
        <w:pStyle w:val="5"/>
        <w:spacing w:line="360" w:lineRule="auto"/>
        <w:ind w:firstLine="405"/>
        <w:rPr>
          <w:rFonts w:ascii="黑体" w:hAnsi="黑体" w:eastAsia="黑体"/>
          <w:b/>
          <w:bCs/>
          <w:sz w:val="28"/>
          <w:szCs w:val="28"/>
        </w:rPr>
      </w:pPr>
      <w:r>
        <w:rPr>
          <w:rFonts w:hint="eastAsia" w:hAnsi="宋体"/>
          <w:b/>
        </w:rPr>
        <w:t>2.密封文件的封面标记</w:t>
      </w:r>
    </w:p>
    <w:p>
      <w:pPr>
        <w:pStyle w:val="5"/>
        <w:ind w:firstLine="420" w:firstLineChars="200"/>
        <w:rPr>
          <w:rFonts w:hint="eastAsia"/>
          <w:lang w:val="en-US" w:eastAsia="zh-CN"/>
        </w:rPr>
      </w:pPr>
      <w:r>
        <w:rPr>
          <w:rFonts w:hint="eastAsia"/>
          <w:lang w:val="en-US" w:eastAsia="zh-CN"/>
        </w:rPr>
        <w:t>⑴项目名称；</w:t>
      </w:r>
    </w:p>
    <w:p>
      <w:pPr>
        <w:pStyle w:val="5"/>
        <w:ind w:firstLine="420" w:firstLineChars="200"/>
        <w:rPr>
          <w:rFonts w:hint="eastAsia"/>
          <w:lang w:val="en-US" w:eastAsia="zh-CN"/>
        </w:rPr>
      </w:pPr>
      <w:r>
        <w:rPr>
          <w:rFonts w:hint="eastAsia"/>
          <w:lang w:val="en-US" w:eastAsia="zh-CN"/>
        </w:rPr>
        <w:t>⑵投标人名称（加盖公章）、地址、邮编、电话、传真；</w:t>
      </w:r>
    </w:p>
    <w:p>
      <w:pPr>
        <w:pStyle w:val="5"/>
        <w:ind w:firstLine="420" w:firstLineChars="200"/>
        <w:rPr>
          <w:rFonts w:hint="eastAsia"/>
          <w:lang w:val="en-US" w:eastAsia="zh-CN"/>
        </w:rPr>
      </w:pPr>
      <w:r>
        <w:rPr>
          <w:rFonts w:hint="eastAsia"/>
          <w:lang w:val="en-US" w:eastAsia="zh-CN"/>
        </w:rPr>
        <w:t>⑶每一密封文件在封口处加盖投标人公章；</w:t>
      </w:r>
    </w:p>
    <w:p>
      <w:pPr>
        <w:pStyle w:val="5"/>
        <w:ind w:firstLine="420" w:firstLineChars="200"/>
        <w:rPr>
          <w:rFonts w:hint="eastAsia"/>
          <w:lang w:val="en-US" w:eastAsia="zh-CN"/>
        </w:rPr>
      </w:pPr>
      <w:r>
        <w:rPr>
          <w:rFonts w:hint="eastAsia"/>
          <w:lang w:val="en-US" w:eastAsia="zh-CN"/>
        </w:rPr>
        <w:t>⑷开标一览表、标书两份密封文件均需在封口处注明“于2024年5月13日上午9时30分之前不准启封”字样；</w:t>
      </w:r>
    </w:p>
    <w:p>
      <w:pPr>
        <w:pStyle w:val="5"/>
        <w:ind w:firstLine="422" w:firstLineChars="200"/>
        <w:rPr>
          <w:rFonts w:hint="eastAsia"/>
          <w:lang w:val="en-US" w:eastAsia="zh-CN"/>
        </w:rPr>
      </w:pPr>
      <w:r>
        <w:rPr>
          <w:rFonts w:hint="eastAsia"/>
          <w:b/>
          <w:bCs/>
          <w:lang w:val="en-US" w:eastAsia="zh-CN"/>
        </w:rPr>
        <w:t>注：</w:t>
      </w:r>
      <w:r>
        <w:rPr>
          <w:rFonts w:hint="eastAsia"/>
          <w:lang w:val="en-US" w:eastAsia="zh-CN"/>
        </w:rPr>
        <w:t>如果投标人未按上述要求对投标文件进行密封和标记，或因投标人密封不当造成投标文件的提前开封，招标人有权予以拒绝，并视为投标人主动放弃投标。</w:t>
      </w:r>
    </w:p>
    <w:p>
      <w:pPr>
        <w:pStyle w:val="5"/>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pPr>
        <w:pStyle w:val="5"/>
        <w:ind w:firstLine="420" w:firstLineChars="200"/>
        <w:rPr>
          <w:rFonts w:hint="default"/>
          <w:strike/>
          <w:dstrike w:val="0"/>
          <w:lang w:val="en-US" w:eastAsia="zh-CN"/>
        </w:rPr>
      </w:pPr>
      <w:r>
        <w:rPr>
          <w:rFonts w:hint="eastAsia"/>
          <w:lang w:val="en-US" w:eastAsia="zh-CN"/>
        </w:rPr>
        <w:t>具体格式见附件1～附件12.</w:t>
      </w: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rPr>
          <w:rFonts w:eastAsia="黑体"/>
          <w:b/>
          <w:bCs/>
          <w:sz w:val="28"/>
        </w:rPr>
      </w:pPr>
      <w:r>
        <w:rPr>
          <w:rFonts w:hint="eastAsia" w:eastAsia="黑体"/>
          <w:b/>
          <w:bCs/>
          <w:sz w:val="28"/>
        </w:rPr>
        <w:t>附件1</w:t>
      </w:r>
    </w:p>
    <w:p>
      <w:pPr>
        <w:jc w:val="center"/>
        <w:rPr>
          <w:rFonts w:eastAsia="黑体"/>
          <w:b/>
          <w:bCs/>
          <w:sz w:val="28"/>
        </w:rPr>
      </w:pPr>
      <w:r>
        <w:rPr>
          <w:rFonts w:hint="eastAsia" w:eastAsia="黑体"/>
          <w:b/>
          <w:bCs/>
          <w:sz w:val="28"/>
        </w:rPr>
        <w:t>投标报名表</w:t>
      </w:r>
    </w:p>
    <w:p>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739"/>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588" w:type="dxa"/>
            <w:noWrap w:val="0"/>
            <w:vAlign w:val="center"/>
          </w:tcPr>
          <w:p>
            <w:pPr>
              <w:jc w:val="center"/>
              <w:rPr>
                <w:sz w:val="24"/>
                <w:szCs w:val="24"/>
              </w:rPr>
            </w:pPr>
            <w:r>
              <w:rPr>
                <w:rFonts w:hint="eastAsia"/>
                <w:sz w:val="24"/>
                <w:szCs w:val="24"/>
              </w:rPr>
              <w:t>项目名称</w:t>
            </w:r>
          </w:p>
        </w:tc>
        <w:tc>
          <w:tcPr>
            <w:tcW w:w="7336" w:type="dxa"/>
            <w:gridSpan w:val="3"/>
            <w:noWrap w:val="0"/>
            <w:vAlign w:val="center"/>
          </w:tcPr>
          <w:p>
            <w:pPr>
              <w:jc w:val="both"/>
              <w:rPr>
                <w:rFonts w:ascii="宋体" w:hAnsi="Courier New"/>
              </w:rPr>
            </w:pPr>
            <w:r>
              <w:rPr>
                <w:rFonts w:hint="eastAsia"/>
                <w:sz w:val="28"/>
                <w:szCs w:val="28"/>
                <w:lang w:val="en-US" w:eastAsia="zh-CN"/>
              </w:rPr>
              <w:t>中国重型汽车集团驻济相关单位安全生产</w:t>
            </w:r>
            <w:r>
              <w:rPr>
                <w:rFonts w:hint="eastAsia"/>
                <w:sz w:val="28"/>
                <w:szCs w:val="28"/>
              </w:rPr>
              <w:t>类培训服务项目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588" w:type="dxa"/>
            <w:noWrap w:val="0"/>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336" w:type="dxa"/>
            <w:gridSpan w:val="3"/>
            <w:noWrap w:val="0"/>
            <w:vAlign w:val="center"/>
          </w:tcPr>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88" w:type="dxa"/>
            <w:noWrap w:val="0"/>
            <w:vAlign w:val="center"/>
          </w:tcPr>
          <w:p>
            <w:pPr>
              <w:jc w:val="center"/>
              <w:rPr>
                <w:sz w:val="24"/>
                <w:szCs w:val="24"/>
              </w:rPr>
            </w:pPr>
            <w:r>
              <w:rPr>
                <w:rFonts w:hint="eastAsia"/>
                <w:sz w:val="24"/>
                <w:szCs w:val="24"/>
              </w:rPr>
              <w:t>项目负责人</w:t>
            </w:r>
          </w:p>
        </w:tc>
        <w:tc>
          <w:tcPr>
            <w:tcW w:w="2739"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联系电话</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88" w:type="dxa"/>
            <w:noWrap w:val="0"/>
            <w:vAlign w:val="center"/>
          </w:tcPr>
          <w:p>
            <w:pPr>
              <w:jc w:val="center"/>
              <w:rPr>
                <w:sz w:val="24"/>
                <w:szCs w:val="24"/>
              </w:rPr>
            </w:pPr>
            <w:r>
              <w:rPr>
                <w:rFonts w:hint="eastAsia"/>
                <w:sz w:val="24"/>
                <w:szCs w:val="24"/>
              </w:rPr>
              <w:t>公司电话</w:t>
            </w:r>
          </w:p>
        </w:tc>
        <w:tc>
          <w:tcPr>
            <w:tcW w:w="2739"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传真</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88" w:type="dxa"/>
            <w:noWrap w:val="0"/>
            <w:vAlign w:val="center"/>
          </w:tcPr>
          <w:p>
            <w:pPr>
              <w:jc w:val="center"/>
              <w:rPr>
                <w:sz w:val="24"/>
                <w:szCs w:val="24"/>
              </w:rPr>
            </w:pPr>
            <w:r>
              <w:rPr>
                <w:rFonts w:hint="eastAsia"/>
                <w:sz w:val="24"/>
                <w:szCs w:val="24"/>
              </w:rPr>
              <w:t>E-mail</w:t>
            </w:r>
          </w:p>
        </w:tc>
        <w:tc>
          <w:tcPr>
            <w:tcW w:w="7336" w:type="dxa"/>
            <w:gridSpan w:val="3"/>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88" w:type="dxa"/>
            <w:noWrap w:val="0"/>
            <w:vAlign w:val="center"/>
          </w:tcPr>
          <w:p>
            <w:pPr>
              <w:jc w:val="center"/>
              <w:rPr>
                <w:sz w:val="24"/>
                <w:szCs w:val="24"/>
              </w:rPr>
            </w:pPr>
            <w:r>
              <w:rPr>
                <w:rFonts w:hint="eastAsia"/>
                <w:sz w:val="24"/>
                <w:szCs w:val="24"/>
              </w:rPr>
              <w:t>报名时间</w:t>
            </w:r>
          </w:p>
        </w:tc>
        <w:tc>
          <w:tcPr>
            <w:tcW w:w="7336" w:type="dxa"/>
            <w:gridSpan w:val="3"/>
            <w:noWrap w:val="0"/>
            <w:vAlign w:val="center"/>
          </w:tcPr>
          <w:p>
            <w:pPr>
              <w:jc w:val="center"/>
              <w:rPr>
                <w:sz w:val="24"/>
                <w:szCs w:val="24"/>
              </w:rPr>
            </w:pPr>
            <w:r>
              <w:rPr>
                <w:rFonts w:hint="eastAsia"/>
                <w:sz w:val="24"/>
                <w:szCs w:val="24"/>
              </w:rPr>
              <w:t>年    月    日</w:t>
            </w:r>
          </w:p>
        </w:tc>
      </w:tr>
    </w:tbl>
    <w:p>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spacing w:line="420" w:lineRule="exact"/>
        <w:ind w:firstLine="240" w:firstLineChars="100"/>
        <w:rPr>
          <w:rFonts w:hint="default" w:ascii="宋体" w:hAnsi="宋体" w:eastAsiaTheme="minorEastAsia"/>
          <w:color w:val="auto"/>
          <w:sz w:val="24"/>
          <w:lang w:val="en-US" w:eastAsia="zh-CN"/>
        </w:rPr>
      </w:pPr>
      <w:r>
        <w:rPr>
          <w:rFonts w:hint="eastAsia" w:ascii="宋体" w:hAnsi="宋体"/>
          <w:color w:val="auto"/>
          <w:sz w:val="24"/>
        </w:rPr>
        <w:t>联系人：</w:t>
      </w:r>
      <w:r>
        <w:rPr>
          <w:rFonts w:hint="eastAsia" w:ascii="宋体" w:hAnsi="宋体"/>
          <w:color w:val="auto"/>
          <w:sz w:val="24"/>
          <w:lang w:val="en-US" w:eastAsia="zh-CN"/>
        </w:rPr>
        <w:t>于晓明</w:t>
      </w:r>
      <w:r>
        <w:rPr>
          <w:rFonts w:hint="eastAsia" w:ascii="宋体" w:hAnsi="宋体"/>
          <w:color w:val="auto"/>
          <w:sz w:val="24"/>
        </w:rPr>
        <w:t xml:space="preserve">     联系电话：</w:t>
      </w:r>
      <w:r>
        <w:rPr>
          <w:rFonts w:hint="eastAsia" w:ascii="宋体" w:hAnsi="宋体"/>
          <w:color w:val="auto"/>
          <w:sz w:val="24"/>
          <w:lang w:val="en-US" w:eastAsia="zh-CN"/>
        </w:rPr>
        <w:t>13361010485</w:t>
      </w: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pStyle w:val="5"/>
        <w:spacing w:line="360" w:lineRule="auto"/>
        <w:rPr>
          <w:rFonts w:hint="default"/>
          <w:color w:val="000000"/>
          <w:highlight w:val="none"/>
          <w:lang w:val="en-US" w:eastAsia="zh-CN"/>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2</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jc w:val="center"/>
        <w:rPr>
          <w:rFonts w:eastAsia="黑体"/>
          <w:b/>
          <w:bCs/>
          <w:sz w:val="28"/>
        </w:rPr>
      </w:pPr>
      <w:r>
        <w:rPr>
          <w:rFonts w:hint="eastAsia" w:eastAsia="黑体"/>
          <w:b/>
          <w:bCs/>
          <w:sz w:val="28"/>
        </w:rPr>
        <w:t>投标函</w:t>
      </w:r>
    </w:p>
    <w:p>
      <w:pPr>
        <w:numPr>
          <w:ilvl w:val="0"/>
          <w:numId w:val="0"/>
        </w:numPr>
        <w:rPr>
          <w:rFonts w:hint="eastAsia" w:ascii="宋体" w:hAnsi="宋体"/>
          <w:highlight w:val="none"/>
        </w:rPr>
      </w:pPr>
      <w:r>
        <w:rPr>
          <w:rFonts w:hint="eastAsia" w:ascii="宋体" w:hAnsi="宋体"/>
          <w:highlight w:val="none"/>
        </w:rPr>
        <w:t>致</w:t>
      </w:r>
      <w:r>
        <w:rPr>
          <w:rFonts w:hint="eastAsia" w:ascii="宋体" w:hAnsi="宋体"/>
          <w:highlight w:val="none"/>
          <w:u w:val="single"/>
        </w:rPr>
        <w:t>（招标人名称）                            ：</w:t>
      </w:r>
    </w:p>
    <w:p>
      <w:pPr>
        <w:numPr>
          <w:ilvl w:val="0"/>
          <w:numId w:val="0"/>
        </w:numPr>
        <w:ind w:firstLine="420" w:firstLineChars="200"/>
        <w:rPr>
          <w:rFonts w:hint="eastAsia" w:ascii="宋体" w:hAnsi="宋体"/>
          <w:highlight w:val="none"/>
          <w:u w:val="singl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u w:val="single"/>
          <w:lang w:val="en-US" w:eastAsia="zh-CN"/>
        </w:rPr>
        <w:t xml:space="preserve">   </w:t>
      </w:r>
      <w:r>
        <w:rPr>
          <w:rFonts w:hint="eastAsia" w:ascii="宋体" w:hAnsi="宋体"/>
          <w:highlight w:val="none"/>
        </w:rPr>
        <w:t>经正式授权并代表投标人</w:t>
      </w:r>
      <w:r>
        <w:rPr>
          <w:rFonts w:hint="eastAsia" w:ascii="宋体" w:hAnsi="宋体"/>
          <w:highlight w:val="none"/>
          <w:u w:val="single"/>
        </w:rPr>
        <w:t>（投标人名称、地址）</w:t>
      </w:r>
    </w:p>
    <w:p>
      <w:pPr>
        <w:numPr>
          <w:ilvl w:val="0"/>
          <w:numId w:val="0"/>
        </w:numPr>
        <w:rPr>
          <w:rFonts w:hint="eastAsia" w:ascii="宋体" w:hAnsi="宋体"/>
          <w:highlight w:val="none"/>
        </w:rPr>
      </w:pP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rPr>
        <w:t>提交下述文件：</w:t>
      </w:r>
    </w:p>
    <w:p>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2</w:t>
      </w:r>
      <w:r>
        <w:rPr>
          <w:rFonts w:hint="eastAsia" w:ascii="宋体" w:hAnsi="宋体"/>
          <w:highlight w:val="none"/>
        </w:rPr>
        <w:t>份）</w:t>
      </w:r>
    </w:p>
    <w:p>
      <w:pPr>
        <w:rPr>
          <w:rFonts w:ascii="宋体" w:hAnsi="宋体"/>
        </w:rPr>
      </w:pPr>
      <w:r>
        <w:rPr>
          <w:rFonts w:hint="eastAsia" w:ascii="宋体" w:hAnsi="宋体"/>
          <w:b/>
        </w:rPr>
        <w:t>开标一览表</w:t>
      </w:r>
      <w:r>
        <w:rPr>
          <w:rFonts w:hint="eastAsia" w:ascii="宋体" w:hAnsi="宋体"/>
        </w:rPr>
        <w:t>（2份）</w:t>
      </w:r>
    </w:p>
    <w:p>
      <w:pPr>
        <w:rPr>
          <w:rFonts w:ascii="宋体" w:hAnsi="宋体"/>
        </w:rPr>
      </w:pPr>
      <w:r>
        <w:rPr>
          <w:rFonts w:hint="eastAsia" w:ascii="宋体" w:hAnsi="宋体"/>
          <w:b/>
        </w:rPr>
        <w:t>资质证明文件</w:t>
      </w:r>
      <w:r>
        <w:rPr>
          <w:rFonts w:hint="eastAsia" w:ascii="宋体" w:hAnsi="宋体"/>
        </w:rPr>
        <w:t>（2份）</w:t>
      </w:r>
    </w:p>
    <w:p>
      <w:pPr>
        <w:rPr>
          <w:rFonts w:ascii="宋体" w:hAnsi="宋体"/>
          <w:highlight w:val="none"/>
        </w:rPr>
      </w:pPr>
      <w:r>
        <w:rPr>
          <w:rFonts w:hint="eastAsia" w:ascii="宋体" w:hAnsi="宋体"/>
          <w:highlight w:val="none"/>
        </w:rPr>
        <w:t>据此，签字代表宣布同意如下：</w:t>
      </w:r>
    </w:p>
    <w:p>
      <w:pPr>
        <w:numPr>
          <w:ilvl w:val="0"/>
          <w:numId w:val="3"/>
        </w:numPr>
        <w:rPr>
          <w:rFonts w:ascii="宋体" w:hAnsi="宋体"/>
          <w:highlight w:val="none"/>
          <w:u w:val="single"/>
        </w:rPr>
      </w:pPr>
      <w:r>
        <w:rPr>
          <w:rFonts w:hint="eastAsia" w:ascii="宋体" w:hAnsi="宋体"/>
          <w:highlight w:val="none"/>
        </w:rPr>
        <w:t>所附投标报价表中规定的报价</w:t>
      </w:r>
      <w:r>
        <w:rPr>
          <w:rFonts w:hint="eastAsia" w:ascii="宋体" w:hAnsi="宋体"/>
          <w:highlight w:val="none"/>
          <w:u w:val="single"/>
        </w:rPr>
        <w:t>币种    。</w:t>
      </w:r>
    </w:p>
    <w:p>
      <w:pPr>
        <w:numPr>
          <w:ilvl w:val="0"/>
          <w:numId w:val="3"/>
        </w:numPr>
        <w:rPr>
          <w:rFonts w:ascii="宋体" w:hAnsi="宋体"/>
          <w:highlight w:val="none"/>
        </w:rPr>
      </w:pPr>
      <w:r>
        <w:rPr>
          <w:rFonts w:hint="eastAsia" w:ascii="宋体" w:hAnsi="宋体"/>
          <w:highlight w:val="none"/>
        </w:rPr>
        <w:t>投标人将按招标文件的规定履行合同责任和义务。</w:t>
      </w:r>
    </w:p>
    <w:p>
      <w:pPr>
        <w:numPr>
          <w:ilvl w:val="0"/>
          <w:numId w:val="3"/>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3"/>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pPr>
        <w:numPr>
          <w:ilvl w:val="0"/>
          <w:numId w:val="3"/>
        </w:numPr>
        <w:rPr>
          <w:rFonts w:ascii="宋体" w:hAnsi="宋体"/>
          <w:highlight w:val="none"/>
        </w:rPr>
      </w:pPr>
      <w:r>
        <w:rPr>
          <w:rFonts w:hint="eastAsia" w:ascii="宋体" w:hAnsi="宋体"/>
          <w:highlight w:val="none"/>
        </w:rPr>
        <w:t>投标人同意提供贵方要求的可能与投标有关的一切数据和资料</w:t>
      </w:r>
      <w:r>
        <w:rPr>
          <w:rFonts w:hint="eastAsia" w:ascii="宋体" w:hAnsi="宋体"/>
          <w:highlight w:val="none"/>
          <w:lang w:eastAsia="zh-CN"/>
        </w:rPr>
        <w:t>。</w:t>
      </w:r>
    </w:p>
    <w:p>
      <w:pPr>
        <w:numPr>
          <w:ilvl w:val="0"/>
          <w:numId w:val="3"/>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3"/>
        </w:numPr>
        <w:rPr>
          <w:rFonts w:ascii="宋体" w:hAnsi="宋体"/>
          <w:highlight w:val="none"/>
        </w:rPr>
      </w:pPr>
      <w:r>
        <w:rPr>
          <w:rFonts w:hint="eastAsia" w:ascii="宋体" w:hAnsi="宋体"/>
          <w:highlight w:val="none"/>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ind w:left="795"/>
      </w:pPr>
      <w:r>
        <w:rPr>
          <w:rFonts w:hint="eastAsia"/>
        </w:rPr>
        <w:t>投标人授权代表签字：                 职务：                 日期：</w:t>
      </w:r>
    </w:p>
    <w:p>
      <w:pPr>
        <w:ind w:left="795"/>
      </w:pPr>
      <w:r>
        <w:rPr>
          <w:rFonts w:hint="eastAsia"/>
        </w:rPr>
        <w:t>投标人授权代表姓名、职务（印刷体）：</w:t>
      </w:r>
    </w:p>
    <w:p>
      <w:pPr>
        <w:ind w:left="795"/>
      </w:pPr>
      <w:r>
        <w:rPr>
          <w:rFonts w:hint="eastAsia"/>
        </w:rPr>
        <w:t>投标人名称（及公章）：</w:t>
      </w:r>
    </w:p>
    <w:p>
      <w:pPr>
        <w:ind w:left="795"/>
      </w:pPr>
      <w:r>
        <w:rPr>
          <w:rFonts w:hint="eastAsia"/>
        </w:rPr>
        <w:t>日期：        年       月       日</w:t>
      </w: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pStyle w:val="5"/>
        <w:spacing w:line="360" w:lineRule="auto"/>
        <w:rPr>
          <w:rFonts w:hint="default" w:ascii="宋体" w:hAnsi="宋体"/>
          <w:u w:val="single"/>
          <w:lang w:val="en-US" w:eastAsia="zh-CN"/>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pStyle w:val="5"/>
        <w:spacing w:line="360" w:lineRule="auto"/>
        <w:rPr>
          <w:rFonts w:hint="eastAsia" w:hAnsi="宋体"/>
          <w:u w:val="none"/>
          <w:lang w:val="en-US" w:eastAsia="zh-CN"/>
        </w:rPr>
      </w:pPr>
      <w:r>
        <w:rPr>
          <w:rFonts w:hint="eastAsia" w:hAnsi="宋体"/>
          <w:u w:val="none"/>
          <w:lang w:val="en-US" w:eastAsia="zh-CN"/>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lang w:val="en-US" w:eastAsia="zh-CN"/>
        </w:rPr>
        <w:t>中国重型汽车集团驻济相关单位安全生产</w:t>
      </w:r>
      <w:r>
        <w:rPr>
          <w:rFonts w:hint="eastAsia" w:ascii="宋体" w:hAnsi="宋体"/>
          <w:u w:val="single"/>
        </w:rPr>
        <w:t>类培训服务项目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szCs w:val="21"/>
              </w:rPr>
            </w:pPr>
            <w:r>
              <w:rPr>
                <w:rFonts w:hint="eastAsia"/>
                <w:szCs w:val="21"/>
              </w:rPr>
              <w:t>序号</w:t>
            </w:r>
          </w:p>
        </w:tc>
        <w:tc>
          <w:tcPr>
            <w:tcW w:w="6520" w:type="dxa"/>
            <w:noWrap w:val="0"/>
            <w:vAlign w:val="center"/>
          </w:tcPr>
          <w:p>
            <w:pPr>
              <w:jc w:val="center"/>
              <w:rPr>
                <w:szCs w:val="21"/>
              </w:rPr>
            </w:pPr>
            <w:r>
              <w:rPr>
                <w:rFonts w:hint="eastAsia"/>
                <w:szCs w:val="21"/>
              </w:rPr>
              <w:t>主要内容</w:t>
            </w:r>
          </w:p>
        </w:tc>
        <w:tc>
          <w:tcPr>
            <w:tcW w:w="1276" w:type="dxa"/>
            <w:noWrap w:val="0"/>
            <w:vAlign w:val="center"/>
          </w:tcPr>
          <w:p>
            <w:pPr>
              <w:jc w:val="center"/>
              <w:rPr>
                <w:szCs w:val="21"/>
              </w:rPr>
            </w:pPr>
            <w:r>
              <w:rPr>
                <w:rFonts w:hint="eastAsia"/>
                <w:szCs w:val="21"/>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bl>
    <w:p>
      <w:pPr>
        <w:rPr>
          <w:rFonts w:ascii="宋体" w:hAnsi="宋体"/>
          <w:sz w:val="24"/>
          <w:szCs w:val="24"/>
        </w:rPr>
      </w:pPr>
    </w:p>
    <w:p>
      <w:pPr>
        <w:rPr>
          <w:rFonts w:ascii="宋体" w:hAnsi="宋体"/>
          <w:szCs w:val="21"/>
        </w:rPr>
      </w:pPr>
      <w:r>
        <w:rPr>
          <w:rFonts w:hint="eastAsia" w:ascii="宋体" w:hAnsi="宋体"/>
          <w:szCs w:val="21"/>
        </w:rPr>
        <w:t>投标人名称（盖章）：              法定代表人或授权代表签字：</w:t>
      </w:r>
    </w:p>
    <w:p>
      <w:pPr>
        <w:rPr>
          <w:rFonts w:ascii="宋体" w:hAnsi="宋体"/>
          <w:sz w:val="24"/>
        </w:rPr>
      </w:pPr>
    </w:p>
    <w:p>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pStyle w:val="5"/>
        <w:spacing w:line="360" w:lineRule="auto"/>
        <w:rPr>
          <w:rFonts w:hint="default" w:hAnsi="宋体"/>
          <w:u w:val="none"/>
          <w:lang w:val="en-US" w:eastAsia="zh-CN"/>
        </w:rPr>
      </w:pPr>
    </w:p>
    <w:p>
      <w:pPr>
        <w:rPr>
          <w:rFonts w:hint="eastAsia" w:ascii="宋体" w:hAnsi="宋体" w:eastAsia="黑体"/>
          <w:szCs w:val="21"/>
          <w:lang w:eastAsia="zh-CN"/>
        </w:rPr>
      </w:pPr>
      <w:r>
        <w:rPr>
          <w:rFonts w:hint="eastAsia" w:eastAsia="黑体"/>
          <w:b/>
          <w:bCs/>
          <w:sz w:val="28"/>
        </w:rPr>
        <w:t>附件</w:t>
      </w:r>
      <w:r>
        <w:rPr>
          <w:rFonts w:hint="eastAsia" w:eastAsia="黑体"/>
          <w:b/>
          <w:bCs/>
          <w:sz w:val="28"/>
          <w:lang w:val="en-US" w:eastAsia="zh-CN"/>
        </w:rPr>
        <w:t>5</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ascii="宋体" w:hAnsi="宋体"/>
          <w:szCs w:val="21"/>
        </w:rPr>
      </w:pPr>
      <w:r>
        <w:rPr>
          <w:rFonts w:hint="eastAsia" w:ascii="宋体" w:hAnsi="宋体"/>
          <w:szCs w:val="21"/>
        </w:rPr>
        <w:t>日期：  年   月   日</w:t>
      </w:r>
    </w:p>
    <w:tbl>
      <w:tblPr>
        <w:tblStyle w:val="8"/>
        <w:tblW w:w="108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577"/>
        <w:gridCol w:w="774"/>
        <w:gridCol w:w="939"/>
        <w:gridCol w:w="1197"/>
        <w:gridCol w:w="1197"/>
        <w:gridCol w:w="939"/>
        <w:gridCol w:w="1197"/>
        <w:gridCol w:w="1197"/>
        <w:gridCol w:w="774"/>
        <w:gridCol w:w="864"/>
        <w:gridCol w:w="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7440" w:type="dxa"/>
            <w:gridSpan w:val="7"/>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2024年</w:t>
            </w:r>
          </w:p>
        </w:tc>
        <w:tc>
          <w:tcPr>
            <w:tcW w:w="86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初审预计数量（人）</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初审单价（元/人）未税</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初审单价（元/人）含税</w:t>
            </w:r>
          </w:p>
        </w:tc>
        <w:tc>
          <w:tcPr>
            <w:tcW w:w="939"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复审预计数量（人）</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复审单价（元/人）未税</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复审单价（元/人）含税</w:t>
            </w:r>
          </w:p>
        </w:tc>
        <w:tc>
          <w:tcPr>
            <w:tcW w:w="774"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pPr>
              <w:jc w:val="center"/>
              <w:rPr>
                <w:rFonts w:hint="eastAsia" w:ascii="仿宋_GB2312" w:hAnsi="宋体" w:eastAsia="仿宋_GB2312" w:cs="仿宋_GB2312"/>
                <w:b/>
                <w:bCs/>
                <w:i w:val="0"/>
                <w:iCs w:val="0"/>
                <w:color w:val="FFFFFF"/>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安全生产类</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200小时</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按人数结算费用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初培32学时，复审12学时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初培48学时，复审16学时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bl>
    <w:p>
      <w:pPr>
        <w:rPr>
          <w:rFonts w:hint="eastAsia" w:ascii="宋体" w:hAnsi="宋体"/>
          <w:b/>
          <w:bCs/>
        </w:rPr>
      </w:pPr>
      <w:r>
        <w:rPr>
          <w:rFonts w:hint="eastAsia" w:ascii="宋体" w:hAnsi="宋体"/>
          <w:b/>
          <w:bCs/>
        </w:rPr>
        <w:t>注：1、此表中的报价必须与相应的报价明细表中的报价一致。</w:t>
      </w:r>
    </w:p>
    <w:p>
      <w:pPr>
        <w:rPr>
          <w:rFonts w:hint="eastAsia" w:ascii="宋体" w:hAnsi="宋体"/>
          <w:b/>
          <w:bCs/>
          <w:lang w:val="en-US" w:eastAsia="zh-CN"/>
        </w:rPr>
      </w:pPr>
      <w:r>
        <w:rPr>
          <w:rFonts w:hint="eastAsia" w:ascii="宋体" w:hAnsi="宋体"/>
          <w:b/>
          <w:bCs/>
          <w:lang w:val="en-US" w:eastAsia="zh-CN"/>
        </w:rPr>
        <w:t>2、本次报价税率为3%。</w:t>
      </w:r>
    </w:p>
    <w:p>
      <w:pPr>
        <w:rPr>
          <w:rFonts w:hint="default" w:ascii="宋体" w:hAnsi="宋体"/>
          <w:b/>
          <w:bCs/>
          <w:lang w:val="en-US" w:eastAsia="zh-CN"/>
        </w:rPr>
      </w:pPr>
      <w:r>
        <w:rPr>
          <w:rFonts w:hint="eastAsia" w:ascii="宋体" w:hAnsi="宋体"/>
          <w:b/>
          <w:bCs/>
          <w:lang w:val="en-US" w:eastAsia="zh-CN"/>
        </w:rPr>
        <w:t>3、本次报价包含复审及取证培训的理论考试费，新培取证实操考试费及衍生的一切费用。</w:t>
      </w: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pStyle w:val="5"/>
        <w:spacing w:line="360" w:lineRule="auto"/>
        <w:rPr>
          <w:rFonts w:hint="default" w:hAnsi="宋体"/>
          <w:u w:val="none"/>
          <w:lang w:val="en-US" w:eastAsia="zh-CN"/>
        </w:rPr>
      </w:pPr>
    </w:p>
    <w:p>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6</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szCs w:val="21"/>
              </w:rPr>
            </w:pPr>
            <w:r>
              <w:rPr>
                <w:rFonts w:hint="eastAsia" w:ascii="宋体" w:hAnsi="宋体"/>
                <w:szCs w:val="21"/>
              </w:rPr>
              <w:t>序号</w:t>
            </w:r>
          </w:p>
        </w:tc>
        <w:tc>
          <w:tcPr>
            <w:tcW w:w="4140" w:type="dxa"/>
            <w:gridSpan w:val="2"/>
            <w:noWrap w:val="0"/>
            <w:vAlign w:val="center"/>
          </w:tcPr>
          <w:p>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szCs w:val="21"/>
              </w:rPr>
            </w:pPr>
          </w:p>
        </w:tc>
        <w:tc>
          <w:tcPr>
            <w:tcW w:w="1080" w:type="dxa"/>
            <w:noWrap w:val="0"/>
            <w:vAlign w:val="center"/>
          </w:tcPr>
          <w:p>
            <w:pPr>
              <w:jc w:val="center"/>
              <w:rPr>
                <w:rFonts w:ascii="宋体" w:hAnsi="宋体"/>
                <w:szCs w:val="21"/>
              </w:rPr>
            </w:pPr>
            <w:r>
              <w:rPr>
                <w:rFonts w:hint="eastAsia" w:ascii="宋体" w:hAnsi="宋体"/>
                <w:szCs w:val="21"/>
              </w:rPr>
              <w:t>条款号</w:t>
            </w:r>
          </w:p>
        </w:tc>
        <w:tc>
          <w:tcPr>
            <w:tcW w:w="3060" w:type="dxa"/>
            <w:noWrap w:val="0"/>
            <w:vAlign w:val="center"/>
          </w:tcPr>
          <w:p>
            <w:pPr>
              <w:jc w:val="center"/>
              <w:rPr>
                <w:rFonts w:ascii="宋体" w:hAnsi="宋体"/>
                <w:szCs w:val="21"/>
              </w:rPr>
            </w:pPr>
            <w:r>
              <w:rPr>
                <w:rFonts w:hint="eastAsia" w:ascii="宋体" w:hAnsi="宋体"/>
                <w:szCs w:val="21"/>
              </w:rPr>
              <w:t>条款要求</w:t>
            </w:r>
          </w:p>
        </w:tc>
        <w:tc>
          <w:tcPr>
            <w:tcW w:w="3554" w:type="dxa"/>
            <w:vMerge w:val="continue"/>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Cs w:val="21"/>
              </w:rPr>
            </w:pPr>
            <w:r>
              <w:rPr>
                <w:rFonts w:hint="eastAsia" w:ascii="宋体" w:hAnsi="宋体"/>
                <w:szCs w:val="21"/>
              </w:rPr>
              <w:t>1</w:t>
            </w:r>
          </w:p>
        </w:tc>
        <w:tc>
          <w:tcPr>
            <w:tcW w:w="1080" w:type="dxa"/>
            <w:noWrap w:val="0"/>
            <w:vAlign w:val="center"/>
          </w:tcPr>
          <w:p>
            <w:pPr>
              <w:rPr>
                <w:rFonts w:ascii="宋体" w:hAnsi="宋体"/>
                <w:szCs w:val="21"/>
              </w:rPr>
            </w:pPr>
          </w:p>
        </w:tc>
        <w:tc>
          <w:tcPr>
            <w:tcW w:w="3060" w:type="dxa"/>
            <w:noWrap w:val="0"/>
            <w:vAlign w:val="center"/>
          </w:tcPr>
          <w:p>
            <w:pPr>
              <w:rPr>
                <w:rFonts w:ascii="宋体" w:hAnsi="宋体"/>
                <w:szCs w:val="21"/>
              </w:rPr>
            </w:pPr>
          </w:p>
        </w:tc>
        <w:tc>
          <w:tcPr>
            <w:tcW w:w="3554"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2</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3</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4</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5</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6</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7</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8</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9</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10</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pPr>
        <w:tabs>
          <w:tab w:val="left" w:pos="3426"/>
        </w:tabs>
        <w:bidi w:val="0"/>
        <w:jc w:val="left"/>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企业情况及服务承诺一览表</w:t>
      </w:r>
    </w:p>
    <w:p>
      <w:pPr>
        <w:jc w:val="center"/>
        <w:rPr>
          <w:rFonts w:ascii="黑体" w:eastAsia="黑体"/>
          <w:sz w:val="30"/>
        </w:rPr>
      </w:pPr>
      <w:r>
        <w:rPr>
          <w:rFonts w:hint="eastAsia" w:ascii="黑体" w:eastAsia="黑体"/>
          <w:sz w:val="30"/>
        </w:rPr>
        <w:t>（模板，信息仅供参考，项目需求单位根据项目实际情况自拟格式和内容）</w:t>
      </w:r>
    </w:p>
    <w:tbl>
      <w:tblPr>
        <w:tblStyle w:val="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612"/>
        <w:gridCol w:w="1288"/>
        <w:gridCol w:w="1249"/>
        <w:gridCol w:w="1400"/>
        <w:gridCol w:w="1942"/>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1008" w:type="dxa"/>
            <w:gridSpan w:val="2"/>
            <w:vAlign w:val="center"/>
          </w:tcPr>
          <w:p>
            <w:pPr>
              <w:jc w:val="center"/>
              <w:rPr>
                <w:rFonts w:ascii="宋体" w:hAnsi="宋体"/>
                <w:sz w:val="24"/>
              </w:rPr>
            </w:pPr>
          </w:p>
        </w:tc>
        <w:tc>
          <w:tcPr>
            <w:tcW w:w="2537" w:type="dxa"/>
            <w:gridSpan w:val="2"/>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942" w:type="dxa"/>
            <w:vAlign w:val="center"/>
          </w:tcPr>
          <w:p>
            <w:pPr>
              <w:rPr>
                <w:rFonts w:ascii="宋体" w:hAnsi="宋体"/>
                <w:sz w:val="24"/>
              </w:rPr>
            </w:pPr>
            <w:r>
              <w:rPr>
                <w:rFonts w:hint="eastAsia" w:ascii="宋体" w:hAnsi="宋体"/>
                <w:sz w:val="24"/>
              </w:rPr>
              <w:t>注册资本</w:t>
            </w:r>
          </w:p>
        </w:tc>
        <w:tc>
          <w:tcPr>
            <w:tcW w:w="1614" w:type="dxa"/>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pPr>
              <w:jc w:val="left"/>
              <w:rPr>
                <w:rFonts w:ascii="宋体" w:hAnsi="宋体"/>
                <w:sz w:val="24"/>
              </w:rPr>
            </w:pPr>
            <w:r>
              <w:rPr>
                <w:rFonts w:hint="eastAsia" w:ascii="宋体" w:hAnsi="宋体"/>
                <w:sz w:val="24"/>
              </w:rPr>
              <w:t>公司在册员工人数</w:t>
            </w:r>
          </w:p>
        </w:tc>
        <w:tc>
          <w:tcPr>
            <w:tcW w:w="2537" w:type="dxa"/>
            <w:gridSpan w:val="2"/>
            <w:vAlign w:val="center"/>
          </w:tcPr>
          <w:p>
            <w:pPr>
              <w:jc w:val="right"/>
              <w:rPr>
                <w:rFonts w:ascii="宋体" w:hAnsi="宋体"/>
                <w:sz w:val="24"/>
              </w:rPr>
            </w:pPr>
            <w:r>
              <w:rPr>
                <w:rFonts w:hint="eastAsia" w:ascii="宋体" w:hAnsi="宋体"/>
                <w:sz w:val="24"/>
              </w:rPr>
              <w:t>人</w:t>
            </w:r>
          </w:p>
        </w:tc>
        <w:tc>
          <w:tcPr>
            <w:tcW w:w="3342" w:type="dxa"/>
            <w:gridSpan w:val="2"/>
            <w:vAlign w:val="center"/>
          </w:tcPr>
          <w:p>
            <w:pPr>
              <w:jc w:val="left"/>
              <w:rPr>
                <w:rFonts w:ascii="宋体" w:hAnsi="宋体"/>
                <w:sz w:val="24"/>
              </w:rPr>
            </w:pPr>
            <w:r>
              <w:rPr>
                <w:rFonts w:hint="eastAsia" w:ascii="宋体" w:hAnsi="宋体"/>
                <w:sz w:val="24"/>
              </w:rPr>
              <w:t>从事</w:t>
            </w:r>
            <w:r>
              <w:rPr>
                <w:rFonts w:hint="eastAsia" w:ascii="宋体" w:hAnsi="宋体"/>
                <w:sz w:val="24"/>
                <w:lang w:eastAsia="zh-CN"/>
              </w:rPr>
              <w:t>培训工作</w:t>
            </w:r>
            <w:r>
              <w:rPr>
                <w:rFonts w:hint="eastAsia" w:ascii="宋体" w:hAnsi="宋体"/>
                <w:sz w:val="24"/>
              </w:rPr>
              <w:t>员工人数</w:t>
            </w:r>
          </w:p>
        </w:tc>
        <w:tc>
          <w:tcPr>
            <w:tcW w:w="161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60" w:type="dxa"/>
            <w:gridSpan w:val="5"/>
            <w:vAlign w:val="center"/>
          </w:tcPr>
          <w:p>
            <w:pPr>
              <w:jc w:val="right"/>
              <w:rPr>
                <w:rFonts w:ascii="宋体" w:hAnsi="宋体"/>
                <w:sz w:val="24"/>
              </w:rPr>
            </w:pPr>
            <w:r>
              <w:rPr>
                <w:rFonts w:hint="eastAsia" w:ascii="宋体" w:hAnsi="宋体"/>
                <w:sz w:val="24"/>
              </w:rPr>
              <w:t>企业所通过的体系认证情况</w:t>
            </w:r>
          </w:p>
        </w:tc>
        <w:tc>
          <w:tcPr>
            <w:tcW w:w="4956" w:type="dxa"/>
            <w:gridSpan w:val="3"/>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3"/>
            <w:vAlign w:val="center"/>
          </w:tcPr>
          <w:p>
            <w:pPr>
              <w:jc w:val="center"/>
              <w:rPr>
                <w:rFonts w:ascii="宋体" w:hAnsi="宋体"/>
                <w:sz w:val="24"/>
              </w:rPr>
            </w:pPr>
            <w:r>
              <w:rPr>
                <w:rFonts w:hint="eastAsia" w:ascii="宋体" w:hAnsi="宋体"/>
                <w:sz w:val="24"/>
              </w:rPr>
              <w:t>公司现有主要</w:t>
            </w:r>
            <w:r>
              <w:rPr>
                <w:rFonts w:hint="eastAsia" w:ascii="宋体" w:hAnsi="宋体"/>
                <w:sz w:val="24"/>
                <w:lang w:eastAsia="zh-CN"/>
              </w:rPr>
              <w:t>工作</w:t>
            </w:r>
            <w:r>
              <w:rPr>
                <w:rFonts w:hint="eastAsia" w:ascii="宋体" w:hAnsi="宋体"/>
                <w:sz w:val="24"/>
              </w:rPr>
              <w:t>人员等配置情况</w:t>
            </w:r>
          </w:p>
        </w:tc>
        <w:tc>
          <w:tcPr>
            <w:tcW w:w="7493" w:type="dxa"/>
            <w:gridSpan w:val="5"/>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jc w:val="center"/>
              <w:rPr>
                <w:rFonts w:ascii="宋体" w:hAnsi="宋体"/>
                <w:sz w:val="24"/>
              </w:rPr>
            </w:pPr>
            <w:r>
              <w:rPr>
                <w:rFonts w:hint="eastAsia" w:ascii="宋体" w:hAnsi="宋体"/>
                <w:sz w:val="24"/>
              </w:rPr>
              <w:t>针对本招标项目的方案及承诺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vAlign w:val="center"/>
          </w:tcPr>
          <w:p>
            <w:pPr>
              <w:jc w:val="center"/>
              <w:rPr>
                <w:rFonts w:ascii="宋体" w:hAnsi="宋体"/>
                <w:sz w:val="24"/>
              </w:rPr>
            </w:pPr>
            <w:r>
              <w:rPr>
                <w:rFonts w:hint="eastAsia" w:ascii="宋体" w:hAnsi="宋体"/>
                <w:sz w:val="24"/>
              </w:rPr>
              <w:t>可为该项目配备人员、相关设备等情况</w:t>
            </w:r>
          </w:p>
        </w:tc>
        <w:tc>
          <w:tcPr>
            <w:tcW w:w="1900" w:type="dxa"/>
            <w:gridSpan w:val="2"/>
            <w:vAlign w:val="center"/>
          </w:tcPr>
          <w:p>
            <w:pPr>
              <w:jc w:val="center"/>
              <w:rPr>
                <w:rFonts w:ascii="宋体" w:hAnsi="宋体"/>
                <w:sz w:val="24"/>
              </w:rPr>
            </w:pPr>
            <w:r>
              <w:rPr>
                <w:rFonts w:hint="eastAsia" w:ascii="宋体" w:hAnsi="宋体"/>
                <w:sz w:val="24"/>
              </w:rPr>
              <w:t>人员（名）</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rPr>
            </w:pPr>
            <w:r>
              <w:rPr>
                <w:rFonts w:hint="eastAsia" w:ascii="宋体" w:hAnsi="宋体"/>
                <w:sz w:val="24"/>
              </w:rPr>
              <w:t>本项目竞争优势</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rPr>
            </w:pPr>
            <w:r>
              <w:rPr>
                <w:rFonts w:ascii="宋体" w:hAnsi="宋体"/>
                <w:sz w:val="24"/>
              </w:rPr>
              <w:t>……</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szCs w:val="24"/>
              </w:rPr>
            </w:pPr>
            <w:r>
              <w:rPr>
                <w:rFonts w:ascii="宋体" w:hAnsi="宋体"/>
                <w:sz w:val="24"/>
              </w:rPr>
              <w:t>……</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rPr>
            </w:pPr>
            <w:r>
              <w:rPr>
                <w:rFonts w:ascii="宋体" w:hAnsi="宋体"/>
                <w:sz w:val="24"/>
              </w:rPr>
              <w:t>……</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Align w:val="center"/>
          </w:tcPr>
          <w:p>
            <w:pPr>
              <w:jc w:val="center"/>
              <w:rPr>
                <w:rFonts w:ascii="宋体" w:hAnsi="宋体"/>
                <w:sz w:val="24"/>
              </w:rPr>
            </w:pPr>
            <w:r>
              <w:rPr>
                <w:rFonts w:hint="eastAsia" w:ascii="宋体" w:hAnsi="宋体"/>
                <w:sz w:val="24"/>
              </w:rPr>
              <w:t>其他</w:t>
            </w:r>
          </w:p>
        </w:tc>
        <w:tc>
          <w:tcPr>
            <w:tcW w:w="1900" w:type="dxa"/>
            <w:gridSpan w:val="2"/>
            <w:vAlign w:val="center"/>
          </w:tcPr>
          <w:p>
            <w:pPr>
              <w:jc w:val="center"/>
              <w:rPr>
                <w:rFonts w:ascii="宋体" w:hAnsi="宋体"/>
                <w:sz w:val="24"/>
              </w:rPr>
            </w:pPr>
            <w:r>
              <w:rPr>
                <w:rFonts w:ascii="宋体" w:hAnsi="宋体"/>
                <w:sz w:val="24"/>
              </w:rPr>
              <w:t>……</w:t>
            </w:r>
          </w:p>
        </w:tc>
        <w:tc>
          <w:tcPr>
            <w:tcW w:w="6205" w:type="dxa"/>
            <w:gridSpan w:val="4"/>
            <w:vAlign w:val="center"/>
          </w:tcPr>
          <w:p>
            <w:pPr>
              <w:jc w:val="center"/>
              <w:rPr>
                <w:rFonts w:ascii="宋体" w:hAnsi="宋体"/>
                <w:sz w:val="24"/>
              </w:rPr>
            </w:pPr>
          </w:p>
        </w:tc>
      </w:tr>
    </w:tbl>
    <w:p>
      <w:pPr>
        <w:pStyle w:val="5"/>
        <w:ind w:firstLine="240" w:firstLineChars="100"/>
        <w:rPr>
          <w:rFonts w:ascii="仿宋_GB2312" w:hAnsi="宋体" w:eastAsia="仿宋_GB2312"/>
          <w:sz w:val="24"/>
        </w:rPr>
      </w:pPr>
    </w:p>
    <w:p>
      <w:pPr>
        <w:pStyle w:val="5"/>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5"/>
        <w:ind w:left="708" w:leftChars="115" w:hanging="467" w:hangingChars="194"/>
        <w:rPr>
          <w:rFonts w:hAnsi="宋体"/>
          <w:b/>
          <w:sz w:val="24"/>
        </w:rPr>
      </w:pPr>
    </w:p>
    <w:p>
      <w:pPr>
        <w:pStyle w:val="5"/>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5"/>
        <w:ind w:left="661" w:leftChars="315"/>
        <w:rPr>
          <w:rFonts w:hAnsi="宋体"/>
          <w:sz w:val="24"/>
        </w:rPr>
      </w:pPr>
      <w:r>
        <w:rPr>
          <w:rFonts w:hint="eastAsia" w:hAnsi="宋体"/>
          <w:sz w:val="24"/>
        </w:rPr>
        <w:t>2.投标人可在上表内容基础上，酌情自行增加相关条目，以便更好的满足项目开展之需要。</w:t>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jc w:val="both"/>
        <w:rPr>
          <w:rFonts w:hint="eastAsia" w:ascii="宋体" w:hAnsi="宋体"/>
          <w:szCs w:val="21"/>
          <w:highlight w:val="red"/>
        </w:rPr>
      </w:pPr>
      <w:r>
        <w:rPr>
          <w:rFonts w:hint="eastAsia" w:eastAsia="黑体"/>
          <w:b/>
          <w:bCs/>
          <w:sz w:val="28"/>
        </w:rPr>
        <w:t>附件</w:t>
      </w:r>
      <w:r>
        <w:rPr>
          <w:rFonts w:hint="eastAsia" w:eastAsia="黑体"/>
          <w:b/>
          <w:bCs/>
          <w:sz w:val="28"/>
          <w:highlight w:val="none"/>
          <w:lang w:val="en-US" w:eastAsia="zh-CN"/>
        </w:rPr>
        <w:t>8</w:t>
      </w:r>
    </w:p>
    <w:p>
      <w:pPr>
        <w:rPr>
          <w:rFonts w:ascii="宋体" w:hAnsi="宋体"/>
        </w:rPr>
      </w:pPr>
      <w:r>
        <w:rPr>
          <w:rFonts w:hint="eastAsia" w:ascii="宋体" w:hAnsi="宋体"/>
        </w:rPr>
        <w:t>项目名称：</w:t>
      </w:r>
      <w:r>
        <w:rPr>
          <w:rFonts w:hint="eastAsia" w:ascii="宋体" w:hAnsi="宋体"/>
          <w:u w:val="single"/>
          <w:lang w:val="en-US" w:eastAsia="zh-CN"/>
        </w:rPr>
        <w:t>中国重型汽车集团驻济相关单位安全生产</w:t>
      </w:r>
      <w:r>
        <w:rPr>
          <w:rFonts w:hint="eastAsia" w:ascii="宋体" w:hAnsi="宋体"/>
          <w:u w:val="single"/>
        </w:rPr>
        <w:t>类培训服务项目</w:t>
      </w:r>
    </w:p>
    <w:p>
      <w:pPr>
        <w:pStyle w:val="5"/>
        <w:spacing w:line="360" w:lineRule="auto"/>
        <w:rPr>
          <w:rFonts w:hint="eastAsia" w:ascii="宋体" w:hAnsi="宋体"/>
          <w:szCs w:val="21"/>
        </w:rPr>
      </w:pPr>
      <w:r>
        <w:rPr>
          <w:rFonts w:hint="eastAsia" w:ascii="宋体" w:hAnsi="宋体"/>
          <w:szCs w:val="21"/>
        </w:rPr>
        <w:t>日期：  年   月   日</w:t>
      </w:r>
    </w:p>
    <w:p>
      <w:pPr>
        <w:jc w:val="center"/>
        <w:rPr>
          <w:rFonts w:hint="eastAsia" w:ascii="宋体" w:hAnsi="宋体"/>
          <w:szCs w:val="21"/>
          <w:highlight w:val="none"/>
        </w:rPr>
      </w:pPr>
      <w:r>
        <w:rPr>
          <w:rFonts w:hint="eastAsia" w:eastAsia="黑体"/>
          <w:b/>
          <w:bCs/>
          <w:sz w:val="28"/>
          <w:highlight w:val="none"/>
          <w:lang w:val="en-US" w:eastAsia="zh-CN"/>
        </w:rPr>
        <w:t>开标</w:t>
      </w:r>
      <w:r>
        <w:rPr>
          <w:rFonts w:hint="eastAsia" w:eastAsia="黑体"/>
          <w:b/>
          <w:bCs/>
          <w:sz w:val="28"/>
          <w:highlight w:val="none"/>
        </w:rPr>
        <w:t>一览表</w:t>
      </w:r>
    </w:p>
    <w:tbl>
      <w:tblPr>
        <w:tblStyle w:val="8"/>
        <w:tblW w:w="9369"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2214"/>
        <w:gridCol w:w="765"/>
        <w:gridCol w:w="1080"/>
        <w:gridCol w:w="1080"/>
        <w:gridCol w:w="750"/>
        <w:gridCol w:w="1080"/>
        <w:gridCol w:w="1080"/>
        <w:gridCol w:w="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6429"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项目总报价</w:t>
            </w:r>
          </w:p>
        </w:tc>
        <w:tc>
          <w:tcPr>
            <w:tcW w:w="2940" w:type="dxa"/>
            <w:gridSpan w:val="3"/>
            <w:vMerge w:val="restart"/>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（人民币，元，含税）</w:t>
            </w:r>
          </w:p>
        </w:tc>
        <w:tc>
          <w:tcPr>
            <w:tcW w:w="2940" w:type="dxa"/>
            <w:gridSpan w:val="3"/>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是否响应本招标书的各项条款及要求（如响应，在该栏中填写“是”字；如不响应，在该栏中填写“否”字并在相关条款偏离表中予以具体注明）</w:t>
            </w:r>
          </w:p>
        </w:tc>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2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培训类别项目</w:t>
            </w:r>
          </w:p>
        </w:tc>
        <w:tc>
          <w:tcPr>
            <w:tcW w:w="58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2024年</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c>
          <w:tcPr>
            <w:tcW w:w="2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初审单价（元/人）未税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初审单价（元/人）含税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复审单价（元/人）未税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复审单价（元/人）含税</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200小时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13"/>
                <w:rFonts w:hAnsi="宋体"/>
                <w:lang w:val="en-US" w:eastAsia="zh-CN" w:bidi="ar"/>
              </w:rPr>
              <w:t>32人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936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除满足本招标书之基本要求外，可额外提供的其他免费服务项目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服务名称</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服务内容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bl>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9</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同类项目业绩一览表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pPr>
              <w:pStyle w:val="5"/>
              <w:jc w:val="center"/>
              <w:rPr>
                <w:rFonts w:hAnsi="宋体"/>
                <w:b/>
                <w:bCs/>
                <w:szCs w:val="21"/>
              </w:rPr>
            </w:pPr>
            <w:r>
              <w:rPr>
                <w:rFonts w:hint="eastAsia" w:hAnsi="宋体"/>
                <w:bCs/>
                <w:szCs w:val="21"/>
              </w:rPr>
              <w:t>客户名称</w:t>
            </w:r>
          </w:p>
        </w:tc>
        <w:tc>
          <w:tcPr>
            <w:tcW w:w="1697" w:type="dxa"/>
            <w:vAlign w:val="bottom"/>
          </w:tcPr>
          <w:p>
            <w:pPr>
              <w:pStyle w:val="5"/>
              <w:jc w:val="center"/>
              <w:rPr>
                <w:rFonts w:hAnsi="宋体"/>
                <w:bCs/>
                <w:szCs w:val="21"/>
              </w:rPr>
            </w:pPr>
            <w:r>
              <w:rPr>
                <w:rFonts w:hint="eastAsia" w:hAnsi="宋体"/>
                <w:bCs/>
                <w:szCs w:val="21"/>
              </w:rPr>
              <w:t>合同（或订单）</w:t>
            </w:r>
          </w:p>
          <w:p>
            <w:pPr>
              <w:pStyle w:val="5"/>
              <w:jc w:val="center"/>
              <w:rPr>
                <w:rFonts w:hAnsi="宋体"/>
                <w:bCs/>
                <w:szCs w:val="21"/>
              </w:rPr>
            </w:pPr>
            <w:r>
              <w:rPr>
                <w:rFonts w:hint="eastAsia" w:hAnsi="宋体"/>
                <w:bCs/>
                <w:szCs w:val="21"/>
              </w:rPr>
              <w:t>项目</w:t>
            </w:r>
          </w:p>
        </w:tc>
        <w:tc>
          <w:tcPr>
            <w:tcW w:w="1821" w:type="dxa"/>
            <w:vAlign w:val="bottom"/>
          </w:tcPr>
          <w:p>
            <w:pPr>
              <w:pStyle w:val="5"/>
              <w:jc w:val="center"/>
              <w:rPr>
                <w:rFonts w:hAnsi="宋体"/>
                <w:bCs/>
                <w:szCs w:val="21"/>
              </w:rPr>
            </w:pPr>
            <w:r>
              <w:rPr>
                <w:rFonts w:hint="eastAsia" w:hAnsi="宋体"/>
                <w:bCs/>
                <w:szCs w:val="21"/>
              </w:rPr>
              <w:t>合同（或订单）</w:t>
            </w:r>
          </w:p>
          <w:p>
            <w:pPr>
              <w:pStyle w:val="5"/>
              <w:jc w:val="center"/>
              <w:rPr>
                <w:rFonts w:hAnsi="宋体"/>
                <w:bCs/>
                <w:szCs w:val="21"/>
              </w:rPr>
            </w:pPr>
            <w:r>
              <w:rPr>
                <w:rFonts w:hint="eastAsia" w:hAnsi="宋体"/>
                <w:bCs/>
                <w:szCs w:val="21"/>
              </w:rPr>
              <w:t>起止时间</w:t>
            </w:r>
          </w:p>
        </w:tc>
        <w:tc>
          <w:tcPr>
            <w:tcW w:w="1901" w:type="dxa"/>
            <w:vAlign w:val="bottom"/>
          </w:tcPr>
          <w:p>
            <w:pPr>
              <w:pStyle w:val="5"/>
              <w:jc w:val="center"/>
              <w:rPr>
                <w:rFonts w:hAnsi="宋体"/>
                <w:bCs/>
                <w:szCs w:val="21"/>
              </w:rPr>
            </w:pPr>
            <w:r>
              <w:rPr>
                <w:rFonts w:hint="eastAsia" w:hAnsi="宋体"/>
                <w:bCs/>
                <w:szCs w:val="21"/>
              </w:rPr>
              <w:t>合同（或订单）</w:t>
            </w:r>
          </w:p>
          <w:p>
            <w:pPr>
              <w:pStyle w:val="5"/>
              <w:jc w:val="center"/>
              <w:rPr>
                <w:rFonts w:hAnsi="宋体"/>
                <w:bCs/>
                <w:szCs w:val="21"/>
              </w:rPr>
            </w:pPr>
            <w:r>
              <w:rPr>
                <w:rFonts w:hint="eastAsia" w:hAnsi="宋体"/>
                <w:bCs/>
                <w:szCs w:val="21"/>
              </w:rPr>
              <w:t>金额（万元）</w:t>
            </w:r>
          </w:p>
        </w:tc>
        <w:tc>
          <w:tcPr>
            <w:tcW w:w="1710" w:type="dxa"/>
            <w:vAlign w:val="bottom"/>
          </w:tcPr>
          <w:p>
            <w:pPr>
              <w:pStyle w:val="5"/>
              <w:jc w:val="center"/>
              <w:rPr>
                <w:rFonts w:hAnsi="宋体"/>
                <w:bCs/>
                <w:szCs w:val="21"/>
              </w:rPr>
            </w:pPr>
            <w:r>
              <w:rPr>
                <w:rFonts w:hint="eastAsia" w:hAnsi="宋体"/>
                <w:bCs/>
                <w:szCs w:val="21"/>
              </w:rPr>
              <w:t>联系人及</w:t>
            </w:r>
          </w:p>
          <w:p>
            <w:pPr>
              <w:pStyle w:val="5"/>
              <w:jc w:val="center"/>
              <w:rPr>
                <w:rFonts w:hAnsi="宋体"/>
                <w:bCs/>
                <w:szCs w:val="21"/>
              </w:rPr>
            </w:pPr>
            <w:r>
              <w:rPr>
                <w:rFonts w:hint="eastAsia" w:hAnsi="宋体"/>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5"/>
              <w:jc w:val="center"/>
              <w:rPr>
                <w:rFonts w:hAnsi="宋体"/>
                <w:b/>
                <w:bCs/>
                <w:szCs w:val="21"/>
              </w:rPr>
            </w:pPr>
          </w:p>
        </w:tc>
        <w:tc>
          <w:tcPr>
            <w:tcW w:w="1697" w:type="dxa"/>
            <w:vAlign w:val="center"/>
          </w:tcPr>
          <w:p>
            <w:pPr>
              <w:pStyle w:val="5"/>
              <w:jc w:val="center"/>
              <w:rPr>
                <w:rFonts w:hAnsi="宋体"/>
                <w:b/>
                <w:bCs/>
                <w:szCs w:val="21"/>
              </w:rPr>
            </w:pPr>
          </w:p>
        </w:tc>
        <w:tc>
          <w:tcPr>
            <w:tcW w:w="1821" w:type="dxa"/>
            <w:vAlign w:val="center"/>
          </w:tcPr>
          <w:p>
            <w:pPr>
              <w:pStyle w:val="5"/>
              <w:jc w:val="center"/>
              <w:rPr>
                <w:rFonts w:hAnsi="宋体"/>
                <w:b/>
                <w:bCs/>
                <w:szCs w:val="21"/>
              </w:rPr>
            </w:pPr>
          </w:p>
        </w:tc>
        <w:tc>
          <w:tcPr>
            <w:tcW w:w="1901" w:type="dxa"/>
            <w:vAlign w:val="center"/>
          </w:tcPr>
          <w:p>
            <w:pPr>
              <w:pStyle w:val="5"/>
              <w:jc w:val="center"/>
              <w:rPr>
                <w:rFonts w:hAnsi="宋体"/>
                <w:b/>
                <w:bCs/>
                <w:szCs w:val="21"/>
              </w:rPr>
            </w:pPr>
          </w:p>
        </w:tc>
        <w:tc>
          <w:tcPr>
            <w:tcW w:w="1710" w:type="dxa"/>
            <w:vAlign w:val="center"/>
          </w:tcPr>
          <w:p>
            <w:pPr>
              <w:pStyle w:val="5"/>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5"/>
              <w:jc w:val="center"/>
              <w:rPr>
                <w:rFonts w:hAnsi="宋体"/>
                <w:b/>
                <w:bCs/>
                <w:szCs w:val="21"/>
              </w:rPr>
            </w:pPr>
          </w:p>
        </w:tc>
        <w:tc>
          <w:tcPr>
            <w:tcW w:w="1697" w:type="dxa"/>
            <w:vAlign w:val="center"/>
          </w:tcPr>
          <w:p>
            <w:pPr>
              <w:pStyle w:val="5"/>
              <w:jc w:val="center"/>
              <w:rPr>
                <w:rFonts w:hAnsi="宋体"/>
                <w:b/>
                <w:bCs/>
                <w:szCs w:val="21"/>
              </w:rPr>
            </w:pPr>
          </w:p>
        </w:tc>
        <w:tc>
          <w:tcPr>
            <w:tcW w:w="1821" w:type="dxa"/>
            <w:vAlign w:val="center"/>
          </w:tcPr>
          <w:p>
            <w:pPr>
              <w:pStyle w:val="5"/>
              <w:jc w:val="center"/>
              <w:rPr>
                <w:rFonts w:hAnsi="宋体"/>
                <w:b/>
                <w:bCs/>
                <w:szCs w:val="21"/>
              </w:rPr>
            </w:pPr>
          </w:p>
        </w:tc>
        <w:tc>
          <w:tcPr>
            <w:tcW w:w="1901" w:type="dxa"/>
            <w:vAlign w:val="center"/>
          </w:tcPr>
          <w:p>
            <w:pPr>
              <w:pStyle w:val="5"/>
              <w:jc w:val="center"/>
              <w:rPr>
                <w:rFonts w:hAnsi="宋体"/>
                <w:b/>
                <w:bCs/>
                <w:szCs w:val="21"/>
              </w:rPr>
            </w:pPr>
          </w:p>
        </w:tc>
        <w:tc>
          <w:tcPr>
            <w:tcW w:w="1710" w:type="dxa"/>
            <w:vAlign w:val="center"/>
          </w:tcPr>
          <w:p>
            <w:pPr>
              <w:pStyle w:val="5"/>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5"/>
              <w:jc w:val="center"/>
              <w:rPr>
                <w:rFonts w:hAnsi="宋体"/>
                <w:b/>
                <w:bCs/>
                <w:szCs w:val="21"/>
              </w:rPr>
            </w:pPr>
          </w:p>
        </w:tc>
        <w:tc>
          <w:tcPr>
            <w:tcW w:w="1697" w:type="dxa"/>
            <w:vAlign w:val="center"/>
          </w:tcPr>
          <w:p>
            <w:pPr>
              <w:pStyle w:val="5"/>
              <w:jc w:val="center"/>
              <w:rPr>
                <w:rFonts w:hAnsi="宋体"/>
                <w:b/>
                <w:bCs/>
                <w:szCs w:val="21"/>
              </w:rPr>
            </w:pPr>
          </w:p>
        </w:tc>
        <w:tc>
          <w:tcPr>
            <w:tcW w:w="1821" w:type="dxa"/>
            <w:vAlign w:val="center"/>
          </w:tcPr>
          <w:p>
            <w:pPr>
              <w:pStyle w:val="5"/>
              <w:jc w:val="center"/>
              <w:rPr>
                <w:rFonts w:hAnsi="宋体"/>
                <w:b/>
                <w:bCs/>
                <w:szCs w:val="21"/>
              </w:rPr>
            </w:pPr>
          </w:p>
        </w:tc>
        <w:tc>
          <w:tcPr>
            <w:tcW w:w="1901" w:type="dxa"/>
            <w:vAlign w:val="center"/>
          </w:tcPr>
          <w:p>
            <w:pPr>
              <w:pStyle w:val="5"/>
              <w:jc w:val="center"/>
              <w:rPr>
                <w:rFonts w:hAnsi="宋体"/>
                <w:b/>
                <w:bCs/>
                <w:szCs w:val="21"/>
              </w:rPr>
            </w:pPr>
          </w:p>
        </w:tc>
        <w:tc>
          <w:tcPr>
            <w:tcW w:w="1710" w:type="dxa"/>
            <w:vAlign w:val="center"/>
          </w:tcPr>
          <w:p>
            <w:pPr>
              <w:pStyle w:val="5"/>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5"/>
              <w:jc w:val="center"/>
              <w:rPr>
                <w:rFonts w:hAnsi="宋体"/>
                <w:b/>
                <w:bCs/>
                <w:szCs w:val="21"/>
              </w:rPr>
            </w:pPr>
          </w:p>
        </w:tc>
        <w:tc>
          <w:tcPr>
            <w:tcW w:w="1697" w:type="dxa"/>
            <w:vAlign w:val="center"/>
          </w:tcPr>
          <w:p>
            <w:pPr>
              <w:pStyle w:val="5"/>
              <w:jc w:val="center"/>
              <w:rPr>
                <w:rFonts w:hAnsi="宋体"/>
                <w:b/>
                <w:bCs/>
                <w:szCs w:val="21"/>
              </w:rPr>
            </w:pPr>
          </w:p>
        </w:tc>
        <w:tc>
          <w:tcPr>
            <w:tcW w:w="1821" w:type="dxa"/>
            <w:vAlign w:val="center"/>
          </w:tcPr>
          <w:p>
            <w:pPr>
              <w:pStyle w:val="5"/>
              <w:jc w:val="center"/>
              <w:rPr>
                <w:rFonts w:hAnsi="宋体"/>
                <w:b/>
                <w:bCs/>
                <w:szCs w:val="21"/>
              </w:rPr>
            </w:pPr>
          </w:p>
        </w:tc>
        <w:tc>
          <w:tcPr>
            <w:tcW w:w="1901" w:type="dxa"/>
            <w:vAlign w:val="center"/>
          </w:tcPr>
          <w:p>
            <w:pPr>
              <w:pStyle w:val="5"/>
              <w:jc w:val="center"/>
              <w:rPr>
                <w:rFonts w:hAnsi="宋体"/>
                <w:b/>
                <w:bCs/>
                <w:szCs w:val="21"/>
              </w:rPr>
            </w:pPr>
          </w:p>
        </w:tc>
        <w:tc>
          <w:tcPr>
            <w:tcW w:w="1710" w:type="dxa"/>
            <w:vAlign w:val="center"/>
          </w:tcPr>
          <w:p>
            <w:pPr>
              <w:pStyle w:val="5"/>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5"/>
              <w:jc w:val="center"/>
              <w:rPr>
                <w:rFonts w:hAnsi="宋体"/>
                <w:b/>
                <w:bCs/>
                <w:szCs w:val="21"/>
              </w:rPr>
            </w:pPr>
          </w:p>
        </w:tc>
        <w:tc>
          <w:tcPr>
            <w:tcW w:w="1697" w:type="dxa"/>
            <w:vAlign w:val="center"/>
          </w:tcPr>
          <w:p>
            <w:pPr>
              <w:pStyle w:val="5"/>
              <w:jc w:val="center"/>
              <w:rPr>
                <w:rFonts w:hAnsi="宋体"/>
                <w:b/>
                <w:bCs/>
                <w:szCs w:val="21"/>
              </w:rPr>
            </w:pPr>
          </w:p>
        </w:tc>
        <w:tc>
          <w:tcPr>
            <w:tcW w:w="1821" w:type="dxa"/>
            <w:vAlign w:val="center"/>
          </w:tcPr>
          <w:p>
            <w:pPr>
              <w:pStyle w:val="5"/>
              <w:jc w:val="center"/>
              <w:rPr>
                <w:rFonts w:hAnsi="宋体"/>
                <w:b/>
                <w:bCs/>
                <w:szCs w:val="21"/>
              </w:rPr>
            </w:pPr>
          </w:p>
        </w:tc>
        <w:tc>
          <w:tcPr>
            <w:tcW w:w="1901" w:type="dxa"/>
            <w:vAlign w:val="center"/>
          </w:tcPr>
          <w:p>
            <w:pPr>
              <w:pStyle w:val="5"/>
              <w:jc w:val="center"/>
              <w:rPr>
                <w:rFonts w:hAnsi="宋体"/>
                <w:b/>
                <w:bCs/>
                <w:szCs w:val="21"/>
              </w:rPr>
            </w:pPr>
          </w:p>
        </w:tc>
        <w:tc>
          <w:tcPr>
            <w:tcW w:w="1710" w:type="dxa"/>
            <w:vAlign w:val="center"/>
          </w:tcPr>
          <w:p>
            <w:pPr>
              <w:pStyle w:val="5"/>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5"/>
              <w:jc w:val="center"/>
              <w:rPr>
                <w:rFonts w:hAnsi="宋体"/>
                <w:b/>
                <w:bCs/>
                <w:szCs w:val="21"/>
              </w:rPr>
            </w:pPr>
          </w:p>
        </w:tc>
        <w:tc>
          <w:tcPr>
            <w:tcW w:w="1697" w:type="dxa"/>
            <w:vAlign w:val="center"/>
          </w:tcPr>
          <w:p>
            <w:pPr>
              <w:pStyle w:val="5"/>
              <w:jc w:val="center"/>
              <w:rPr>
                <w:rFonts w:hAnsi="宋体"/>
                <w:b/>
                <w:bCs/>
                <w:szCs w:val="21"/>
              </w:rPr>
            </w:pPr>
          </w:p>
        </w:tc>
        <w:tc>
          <w:tcPr>
            <w:tcW w:w="1821" w:type="dxa"/>
            <w:vAlign w:val="center"/>
          </w:tcPr>
          <w:p>
            <w:pPr>
              <w:pStyle w:val="5"/>
              <w:jc w:val="center"/>
              <w:rPr>
                <w:rFonts w:hAnsi="宋体"/>
                <w:b/>
                <w:bCs/>
                <w:szCs w:val="21"/>
              </w:rPr>
            </w:pPr>
          </w:p>
        </w:tc>
        <w:tc>
          <w:tcPr>
            <w:tcW w:w="1901" w:type="dxa"/>
            <w:vAlign w:val="center"/>
          </w:tcPr>
          <w:p>
            <w:pPr>
              <w:pStyle w:val="5"/>
              <w:jc w:val="center"/>
              <w:rPr>
                <w:rFonts w:hAnsi="宋体"/>
                <w:b/>
                <w:bCs/>
                <w:szCs w:val="21"/>
              </w:rPr>
            </w:pPr>
          </w:p>
        </w:tc>
        <w:tc>
          <w:tcPr>
            <w:tcW w:w="1710" w:type="dxa"/>
            <w:vAlign w:val="center"/>
          </w:tcPr>
          <w:p>
            <w:pPr>
              <w:pStyle w:val="5"/>
              <w:jc w:val="center"/>
              <w:rPr>
                <w:rFonts w:hAnsi="宋体"/>
                <w:b/>
                <w:bCs/>
                <w:szCs w:val="21"/>
              </w:rPr>
            </w:pPr>
          </w:p>
        </w:tc>
      </w:tr>
    </w:tbl>
    <w:p>
      <w:pPr>
        <w:pStyle w:val="5"/>
        <w:rPr>
          <w:rFonts w:hAnsi="宋体"/>
          <w:b/>
          <w:bCs/>
          <w:sz w:val="28"/>
          <w:szCs w:val="28"/>
        </w:rPr>
      </w:pPr>
    </w:p>
    <w:p>
      <w:pPr>
        <w:pStyle w:val="5"/>
        <w:rPr>
          <w:rFonts w:hAnsi="宋体"/>
          <w:b/>
          <w:bCs/>
          <w:sz w:val="28"/>
          <w:szCs w:val="28"/>
        </w:rPr>
      </w:pPr>
    </w:p>
    <w:p>
      <w:pPr>
        <w:pStyle w:val="5"/>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10</w:t>
      </w:r>
    </w:p>
    <w:p>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5"/>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5"/>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5"/>
              <w:spacing w:line="360" w:lineRule="auto"/>
            </w:pPr>
            <w:r>
              <w:rPr>
                <w:rFonts w:hint="eastAsia"/>
              </w:rPr>
              <w:t>开户行行号：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5"/>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5"/>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5"/>
              <w:spacing w:line="360" w:lineRule="auto"/>
            </w:pPr>
            <w:r>
              <w:rPr>
                <w:rFonts w:hint="eastAsia"/>
              </w:rPr>
              <w:t>纳税人识别号：</w:t>
            </w:r>
          </w:p>
        </w:tc>
      </w:tr>
    </w:tbl>
    <w:p>
      <w:pPr>
        <w:pStyle w:val="5"/>
        <w:spacing w:line="360" w:lineRule="auto"/>
        <w:ind w:firstLine="240" w:firstLineChars="100"/>
        <w:rPr>
          <w:rFonts w:ascii="仿宋_GB2312" w:hAnsi="宋体" w:eastAsia="仿宋_GB2312"/>
          <w:sz w:val="24"/>
        </w:rPr>
      </w:pPr>
    </w:p>
    <w:p>
      <w:pPr>
        <w:pStyle w:val="5"/>
        <w:spacing w:line="360" w:lineRule="auto"/>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br w:type="page"/>
      </w: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11</w:t>
      </w:r>
    </w:p>
    <w:p>
      <w:pPr>
        <w:rPr>
          <w:rFonts w:ascii="宋体" w:hAnsi="宋体" w:cs="宋体"/>
          <w:sz w:val="24"/>
          <w:szCs w:val="24"/>
        </w:rPr>
      </w:pPr>
      <w:r>
        <w:rPr>
          <w:rFonts w:hint="eastAsia" w:eastAsia="黑体"/>
          <w:b/>
          <w:bCs/>
          <w:sz w:val="28"/>
        </w:rPr>
        <w:t>SRM非生产供应商注册操作手册</w:t>
      </w: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114300" distR="114300">
            <wp:extent cx="5756910" cy="2934335"/>
            <wp:effectExtent l="0" t="0" r="15240" b="1841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4"/>
                    <a:stretch>
                      <a:fillRect/>
                    </a:stretch>
                  </pic:blipFill>
                  <pic:spPr>
                    <a:xfrm>
                      <a:off x="0" y="0"/>
                      <a:ext cx="5756910" cy="293433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pPr>
        <w:snapToGrid w:val="0"/>
        <w:spacing w:line="312" w:lineRule="auto"/>
      </w:pPr>
      <w:r>
        <w:drawing>
          <wp:inline distT="0" distB="0" distL="114300" distR="114300">
            <wp:extent cx="5756910" cy="2767330"/>
            <wp:effectExtent l="0" t="0" r="15240" b="13970"/>
            <wp:docPr id="6"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escript"/>
                    <pic:cNvPicPr>
                      <a:picLocks noChangeAspect="1"/>
                    </pic:cNvPicPr>
                  </pic:nvPicPr>
                  <pic:blipFill>
                    <a:blip r:embed="rId5"/>
                    <a:stretch>
                      <a:fillRect/>
                    </a:stretch>
                  </pic:blipFill>
                  <pic:spPr>
                    <a:xfrm>
                      <a:off x="0" y="0"/>
                      <a:ext cx="5756910" cy="2767330"/>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pPr>
        <w:snapToGrid w:val="0"/>
        <w:spacing w:line="312" w:lineRule="auto"/>
      </w:pPr>
      <w:r>
        <w:drawing>
          <wp:inline distT="0" distB="0" distL="114300" distR="114300">
            <wp:extent cx="5758815" cy="2869565"/>
            <wp:effectExtent l="0" t="0" r="13335" b="698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6"/>
                    <a:stretch>
                      <a:fillRect/>
                    </a:stretch>
                  </pic:blipFill>
                  <pic:spPr>
                    <a:xfrm>
                      <a:off x="0" y="0"/>
                      <a:ext cx="5758815" cy="28695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pPr>
        <w:snapToGrid w:val="0"/>
        <w:spacing w:line="312" w:lineRule="auto"/>
      </w:pPr>
      <w:r>
        <w:drawing>
          <wp:inline distT="0" distB="0" distL="114300" distR="114300">
            <wp:extent cx="5756910" cy="2854325"/>
            <wp:effectExtent l="0" t="0" r="15240" b="3175"/>
            <wp:docPr id="3"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escript"/>
                    <pic:cNvPicPr>
                      <a:picLocks noChangeAspect="1"/>
                    </pic:cNvPicPr>
                  </pic:nvPicPr>
                  <pic:blipFill>
                    <a:blip r:embed="rId7"/>
                    <a:stretch>
                      <a:fillRect/>
                    </a:stretch>
                  </pic:blipFill>
                  <pic:spPr>
                    <a:xfrm>
                      <a:off x="0" y="0"/>
                      <a:ext cx="5756910" cy="285432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ascii="宋体" w:hAnsi="宋体" w:cs="宋体"/>
          <w:sz w:val="24"/>
          <w:szCs w:val="28"/>
        </w:rPr>
        <w:t>按要求填写所有信息，注意非生产类要填写合作单位，最后提交审批</w:t>
      </w:r>
    </w:p>
    <w:p>
      <w:pPr>
        <w:rPr>
          <w:rFonts w:ascii="宋体" w:hAnsi="宋体" w:cs="宋体"/>
        </w:rPr>
      </w:pPr>
    </w:p>
    <w:p>
      <w:r>
        <w:drawing>
          <wp:inline distT="0" distB="0" distL="114300" distR="114300">
            <wp:extent cx="5758815" cy="2807335"/>
            <wp:effectExtent l="0" t="0" r="13335" b="12065"/>
            <wp:docPr id="4"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escript"/>
                    <pic:cNvPicPr>
                      <a:picLocks noChangeAspect="1"/>
                    </pic:cNvPicPr>
                  </pic:nvPicPr>
                  <pic:blipFill>
                    <a:blip r:embed="rId8"/>
                    <a:stretch>
                      <a:fillRect/>
                    </a:stretch>
                  </pic:blipFill>
                  <pic:spPr>
                    <a:xfrm>
                      <a:off x="0" y="0"/>
                      <a:ext cx="5758815" cy="280733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756910" cy="2823845"/>
            <wp:effectExtent l="0" t="0" r="15240" b="14605"/>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9"/>
                    <a:stretch>
                      <a:fillRect/>
                    </a:stretch>
                  </pic:blipFill>
                  <pic:spPr>
                    <a:xfrm>
                      <a:off x="0" y="0"/>
                      <a:ext cx="5756910" cy="2823845"/>
                    </a:xfrm>
                    <a:prstGeom prst="rect">
                      <a:avLst/>
                    </a:prstGeom>
                    <a:noFill/>
                    <a:ln>
                      <a:noFill/>
                    </a:ln>
                  </pic:spPr>
                </pic:pic>
              </a:graphicData>
            </a:graphic>
          </wp:inline>
        </w:drawing>
      </w:r>
    </w:p>
    <w:p/>
    <w:p>
      <w:pPr>
        <w:pStyle w:val="2"/>
      </w:pPr>
    </w:p>
    <w:p/>
    <w:p>
      <w:pPr>
        <w:pStyle w:val="2"/>
      </w:pPr>
    </w:p>
    <w:p/>
    <w:p>
      <w:pPr>
        <w:pStyle w:val="2"/>
      </w:pPr>
    </w:p>
    <w:p/>
    <w:p>
      <w:pPr>
        <w:pStyle w:val="2"/>
      </w:pPr>
    </w:p>
    <w:p/>
    <w:p>
      <w:pPr>
        <w:pStyle w:val="2"/>
      </w:pPr>
    </w:p>
    <w:p/>
    <w:p>
      <w:pPr>
        <w:pStyle w:val="2"/>
      </w:pPr>
    </w:p>
    <w:p>
      <w:pPr>
        <w:rPr>
          <w:rFonts w:hint="eastAsia" w:eastAsia="黑体"/>
          <w:b/>
          <w:bCs/>
          <w:sz w:val="28"/>
          <w:lang w:val="en-US" w:eastAsia="zh-CN"/>
        </w:rPr>
      </w:pPr>
      <w:r>
        <w:rPr>
          <w:rFonts w:hint="eastAsia" w:eastAsia="黑体"/>
          <w:b/>
          <w:bCs/>
          <w:sz w:val="28"/>
        </w:rPr>
        <w:t>附件</w:t>
      </w:r>
      <w:r>
        <w:rPr>
          <w:rFonts w:eastAsia="黑体"/>
          <w:b/>
          <w:bCs/>
          <w:sz w:val="28"/>
        </w:rPr>
        <w:t>1</w:t>
      </w:r>
      <w:r>
        <w:rPr>
          <w:rFonts w:hint="eastAsia" w:eastAsia="黑体"/>
          <w:b/>
          <w:bCs/>
          <w:sz w:val="28"/>
          <w:lang w:val="en-US" w:eastAsia="zh-CN"/>
        </w:rPr>
        <w:t xml:space="preserve">2 </w:t>
      </w:r>
    </w:p>
    <w:p>
      <w:pPr>
        <w:rPr>
          <w:rFonts w:eastAsia="黑体"/>
          <w:b/>
          <w:bCs/>
          <w:sz w:val="28"/>
        </w:rPr>
      </w:pPr>
      <w:r>
        <w:rPr>
          <w:rFonts w:hint="eastAsia" w:eastAsia="黑体"/>
          <w:b/>
          <w:bCs/>
          <w:sz w:val="28"/>
        </w:rPr>
        <w:t>SRM系统供应商用户手册</w:t>
      </w:r>
    </w:p>
    <w:p>
      <w:pPr>
        <w:spacing w:line="360" w:lineRule="auto"/>
        <w:rPr>
          <w:rFonts w:ascii="宋体" w:hAnsi="宋体" w:cs="宋体"/>
          <w:sz w:val="24"/>
          <w:szCs w:val="24"/>
        </w:rPr>
      </w:pPr>
      <w:r>
        <w:rPr>
          <w:rFonts w:hint="eastAsia" w:ascii="宋体" w:hAnsi="宋体" w:cs="宋体"/>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11"/>
          <w:rFonts w:hint="eastAsia" w:ascii="宋体" w:hAnsi="宋体" w:cs="宋体"/>
          <w:color w:val="auto"/>
          <w:sz w:val="24"/>
          <w:szCs w:val="24"/>
        </w:rPr>
        <w:t>http</w:t>
      </w:r>
      <w:r>
        <w:rPr>
          <w:rStyle w:val="11"/>
          <w:rFonts w:hint="eastAsia" w:ascii="宋体" w:hAnsi="宋体" w:cs="宋体"/>
          <w:color w:val="auto"/>
          <w:sz w:val="24"/>
          <w:szCs w:val="24"/>
          <w:lang w:val="en-US" w:eastAsia="zh-CN"/>
        </w:rPr>
        <w:t>s</w:t>
      </w:r>
      <w:r>
        <w:rPr>
          <w:rStyle w:val="11"/>
          <w:rFonts w:hint="eastAsia" w:ascii="宋体" w:hAnsi="宋体" w:cs="宋体"/>
          <w:color w:val="auto"/>
          <w:sz w:val="24"/>
          <w:szCs w:val="24"/>
        </w:rPr>
        <w:t>://ecaitong.sinotruk.com:8012/</w:t>
      </w:r>
      <w:r>
        <w:rPr>
          <w:rStyle w:val="11"/>
          <w:rFonts w:hint="eastAsia" w:ascii="宋体" w:hAnsi="宋体" w:cs="宋体"/>
          <w:color w:val="auto"/>
          <w:sz w:val="24"/>
          <w:szCs w:val="24"/>
        </w:rPr>
        <w:fldChar w:fldCharType="end"/>
      </w:r>
    </w:p>
    <w:p>
      <w:pPr>
        <w:spacing w:line="360" w:lineRule="auto"/>
        <w:rPr>
          <w:rFonts w:ascii="宋体" w:hAnsi="宋体" w:cs="宋体"/>
          <w:sz w:val="24"/>
          <w:szCs w:val="24"/>
        </w:rPr>
      </w:pPr>
      <w:r>
        <w:rPr>
          <w:rFonts w:hint="eastAsia" w:ascii="宋体" w:hAnsi="宋体" w:cs="宋体"/>
          <w:sz w:val="24"/>
          <w:szCs w:val="24"/>
        </w:rPr>
        <w:t>用 户 名：gys+供应商代码（注意：注册完毕后，用户名不要用手机号登录）</w:t>
      </w:r>
    </w:p>
    <w:p>
      <w:pPr>
        <w:spacing w:line="360" w:lineRule="auto"/>
        <w:rPr>
          <w:rFonts w:ascii="宋体" w:hAnsi="宋体" w:cs="宋体"/>
          <w:sz w:val="24"/>
          <w:szCs w:val="24"/>
        </w:rPr>
      </w:pPr>
      <w:r>
        <w:rPr>
          <w:rFonts w:hint="eastAsia" w:ascii="宋体" w:hAnsi="宋体" w:cs="宋体"/>
          <w:sz w:val="24"/>
          <w:szCs w:val="24"/>
        </w:rPr>
        <w:t>初始密码：scm@2022</w:t>
      </w:r>
    </w:p>
    <w:p>
      <w:pPr>
        <w:spacing w:line="360" w:lineRule="auto"/>
        <w:rPr>
          <w:rFonts w:ascii="宋体" w:hAnsi="宋体" w:cs="宋体"/>
          <w:b/>
          <w:bCs/>
          <w:sz w:val="24"/>
          <w:szCs w:val="24"/>
        </w:rPr>
      </w:pPr>
      <w:r>
        <w:rPr>
          <w:rFonts w:hint="eastAsia" w:ascii="宋体" w:hAnsi="宋体" w:cs="宋体"/>
          <w:b/>
          <w:bCs/>
          <w:sz w:val="24"/>
          <w:szCs w:val="24"/>
        </w:rPr>
        <w:t>1.供应商应标</w:t>
      </w:r>
    </w:p>
    <w:p>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pPr>
        <w:spacing w:line="360" w:lineRule="auto"/>
        <w:rPr>
          <w:rFonts w:ascii="宋体" w:hAnsi="宋体" w:cs="宋体"/>
          <w:sz w:val="24"/>
          <w:szCs w:val="24"/>
        </w:rPr>
      </w:pPr>
      <w:r>
        <w:rPr>
          <w:rFonts w:ascii="宋体" w:hAnsi="宋体" w:cs="宋体"/>
          <w:sz w:val="24"/>
          <w:szCs w:val="24"/>
        </w:rPr>
        <w:t>点击应标，上传文件之后点击提交。</w:t>
      </w:r>
    </w:p>
    <w:p>
      <w:r>
        <w:drawing>
          <wp:inline distT="0" distB="0" distL="114300" distR="114300">
            <wp:extent cx="5755005" cy="2265680"/>
            <wp:effectExtent l="0" t="0" r="17145" b="1270"/>
            <wp:docPr id="1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escript"/>
                    <pic:cNvPicPr>
                      <a:picLocks noChangeAspect="1"/>
                    </pic:cNvPicPr>
                  </pic:nvPicPr>
                  <pic:blipFill>
                    <a:blip r:embed="rId10"/>
                    <a:stretch>
                      <a:fillRect/>
                    </a:stretch>
                  </pic:blipFill>
                  <pic:spPr>
                    <a:xfrm>
                      <a:off x="0" y="0"/>
                      <a:ext cx="5755005" cy="2265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注意：</w:t>
      </w:r>
      <w:r>
        <w:rPr>
          <w:rFonts w:hint="eastAsia" w:ascii="宋体" w:hAnsi="宋体" w:eastAsia="宋体" w:cs="宋体"/>
          <w:b w:val="0"/>
          <w:bCs w:val="0"/>
          <w:sz w:val="24"/>
          <w:szCs w:val="24"/>
          <w:lang w:val="en-US" w:eastAsia="zh-CN"/>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180840" cy="1755775"/>
            <wp:effectExtent l="0" t="0" r="10160"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1"/>
                    <a:stretch>
                      <a:fillRect/>
                    </a:stretch>
                  </pic:blipFill>
                  <pic:spPr>
                    <a:xfrm>
                      <a:off x="0" y="0"/>
                      <a:ext cx="4180840" cy="1755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310380" cy="2586355"/>
            <wp:effectExtent l="0" t="0" r="1397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4310380" cy="2586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46750" cy="134175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tretch>
                      <a:fillRect/>
                    </a:stretch>
                  </pic:blipFill>
                  <pic:spPr>
                    <a:xfrm>
                      <a:off x="0" y="0"/>
                      <a:ext cx="5746750" cy="1341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51195" cy="2925445"/>
            <wp:effectExtent l="0" t="0" r="190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4"/>
                    <a:stretch>
                      <a:fillRect/>
                    </a:stretch>
                  </pic:blipFill>
                  <pic:spPr>
                    <a:xfrm>
                      <a:off x="0" y="0"/>
                      <a:ext cx="5751195" cy="2925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746115" cy="3126105"/>
            <wp:effectExtent l="0" t="0" r="6985" b="1714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5746115" cy="3126105"/>
                    </a:xfrm>
                    <a:prstGeom prst="rect">
                      <a:avLst/>
                    </a:prstGeom>
                    <a:noFill/>
                    <a:ln>
                      <a:noFill/>
                    </a:ln>
                  </pic:spPr>
                </pic:pic>
              </a:graphicData>
            </a:graphic>
          </wp:inline>
        </w:drawing>
      </w:r>
    </w:p>
    <w:p>
      <w:pPr>
        <w:spacing w:line="360" w:lineRule="auto"/>
        <w:rPr>
          <w:rFonts w:ascii="宋体" w:hAnsi="宋体" w:cs="宋体"/>
          <w:b/>
          <w:bCs/>
          <w:sz w:val="24"/>
          <w:szCs w:val="24"/>
        </w:rPr>
      </w:pPr>
      <w:r>
        <w:rPr>
          <w:rFonts w:hint="eastAsia" w:ascii="宋体" w:hAnsi="宋体" w:cs="宋体"/>
          <w:b/>
          <w:bCs/>
          <w:sz w:val="24"/>
          <w:szCs w:val="24"/>
        </w:rPr>
        <w:t>2.供应商投标</w:t>
      </w:r>
    </w:p>
    <w:p>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pPr>
        <w:rPr>
          <w:rFonts w:ascii="宋体" w:hAnsi="宋体" w:cs="宋体"/>
        </w:rPr>
      </w:pPr>
      <w:r>
        <w:rPr>
          <w:rFonts w:ascii="宋体" w:hAnsi="宋体" w:cs="宋体"/>
        </w:rPr>
        <w:drawing>
          <wp:inline distT="0" distB="0" distL="114300" distR="114300">
            <wp:extent cx="5755005" cy="2123440"/>
            <wp:effectExtent l="0" t="0" r="17145" b="10160"/>
            <wp:docPr id="14" name="图片 1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escript"/>
                    <pic:cNvPicPr>
                      <a:picLocks noChangeAspect="1"/>
                    </pic:cNvPicPr>
                  </pic:nvPicPr>
                  <pic:blipFill>
                    <a:blip r:embed="rId16"/>
                    <a:stretch>
                      <a:fillRect/>
                    </a:stretch>
                  </pic:blipFill>
                  <pic:spPr>
                    <a:xfrm>
                      <a:off x="0" y="0"/>
                      <a:ext cx="5755005" cy="2123440"/>
                    </a:xfrm>
                    <a:prstGeom prst="rect">
                      <a:avLst/>
                    </a:prstGeom>
                    <a:noFill/>
                    <a:ln>
                      <a:noFill/>
                    </a:ln>
                  </pic:spPr>
                </pic:pic>
              </a:graphicData>
            </a:graphic>
          </wp:inline>
        </w:drawing>
      </w:r>
    </w:p>
    <w:p>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pPr>
        <w:rPr>
          <w:rFonts w:hint="eastAsia"/>
          <w:b/>
          <w:bCs/>
          <w:highlight w:val="none"/>
        </w:rPr>
      </w:pPr>
      <w:r>
        <w:rPr>
          <w:rFonts w:hint="eastAsia"/>
          <w:b/>
          <w:bCs/>
          <w:highlight w:val="none"/>
        </w:rPr>
        <w:t>请注意，投标报价单位为万元含税</w:t>
      </w:r>
    </w:p>
    <w:p>
      <w:pPr>
        <w:pStyle w:val="4"/>
        <w:spacing w:line="372" w:lineRule="auto"/>
        <w:ind w:left="425" w:hanging="425"/>
        <w:rPr>
          <w:rFonts w:ascii="Arial" w:hAnsi="Arial" w:eastAsia="Arial" w:cs="Arial"/>
          <w:sz w:val="28"/>
        </w:rPr>
      </w:pPr>
      <w:r>
        <w:rPr>
          <w:rFonts w:ascii="Arial" w:hAnsi="Arial" w:eastAsia="Arial" w:cs="Arial"/>
        </w:rPr>
        <w:drawing>
          <wp:inline distT="0" distB="0" distL="114300" distR="114300">
            <wp:extent cx="5484495" cy="2672715"/>
            <wp:effectExtent l="0" t="0" r="1905" b="13335"/>
            <wp:docPr id="15" name="图片 1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escript"/>
                    <pic:cNvPicPr>
                      <a:picLocks noChangeAspect="1"/>
                    </pic:cNvPicPr>
                  </pic:nvPicPr>
                  <pic:blipFill>
                    <a:blip r:embed="rId17"/>
                    <a:stretch>
                      <a:fillRect/>
                    </a:stretch>
                  </pic:blipFill>
                  <pic:spPr>
                    <a:xfrm>
                      <a:off x="0" y="0"/>
                      <a:ext cx="5484495" cy="2672715"/>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开标之后所有投标的供应商都可编辑提交，技术标入围之后都不可编辑</w:t>
      </w:r>
    </w:p>
    <w:p>
      <w:pPr>
        <w:spacing w:line="360" w:lineRule="auto"/>
      </w:pPr>
      <w:r>
        <w:drawing>
          <wp:inline distT="0" distB="0" distL="114300" distR="114300">
            <wp:extent cx="5759450" cy="2669540"/>
            <wp:effectExtent l="0" t="0" r="12700" b="16510"/>
            <wp:docPr id="11" name="图片 17"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highlight w:val="none"/>
        </w:rPr>
      </w:pPr>
      <w:r>
        <w:rPr>
          <w:rFonts w:hint="eastAsia"/>
          <w:b/>
          <w:bCs/>
          <w:highlight w:val="none"/>
        </w:rPr>
        <w:t>请注意，报价单位为万元含税</w:t>
      </w:r>
    </w:p>
    <w:p>
      <w:pPr>
        <w:spacing w:line="360" w:lineRule="auto"/>
        <w:rPr>
          <w:rFonts w:hint="eastAsia"/>
          <w:lang w:val="en-US" w:eastAsia="zh-CN"/>
        </w:rPr>
      </w:pPr>
    </w:p>
    <w:p>
      <w:pPr>
        <w:spacing w:line="360" w:lineRule="auto"/>
        <w:rPr>
          <w:rFonts w:hint="eastAsia" w:ascii="宋体" w:hAnsi="宋体" w:cs="宋体"/>
          <w:b/>
          <w:bCs/>
          <w:sz w:val="24"/>
          <w:szCs w:val="24"/>
          <w:lang w:val="en-US" w:eastAsia="zh-CN"/>
        </w:rPr>
      </w:pPr>
    </w:p>
    <w:p>
      <w:pPr>
        <w:spacing w:line="360" w:lineRule="auto"/>
      </w:pPr>
      <w:r>
        <w:drawing>
          <wp:inline distT="0" distB="0" distL="114300" distR="114300">
            <wp:extent cx="5759450" cy="2936240"/>
            <wp:effectExtent l="0" t="0" r="12700" b="16510"/>
            <wp:docPr id="20"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5.供应商澄清报价</w:t>
      </w:r>
    </w:p>
    <w:p>
      <w:r>
        <w:t>路径：招投标中心-非生产类招投标-</w:t>
      </w:r>
      <w:r>
        <w:rPr>
          <w:rFonts w:hint="eastAsia"/>
        </w:rPr>
        <w:t>供应商澄清报价</w:t>
      </w:r>
    </w:p>
    <w:p>
      <w:r>
        <w:rPr>
          <w:rFonts w:hint="eastAsia"/>
        </w:rPr>
        <w:t>招标发起人接收建议价的同时会给供应商发送澄清报价，供应商在此界面进行澄清报价，点击编辑按钮进入澄清报价详细界面，输入价格并上传澄清函，之后点击提交。</w:t>
      </w:r>
    </w:p>
    <w:p>
      <w:pPr>
        <w:spacing w:line="360" w:lineRule="auto"/>
      </w:pPr>
      <w:r>
        <w:drawing>
          <wp:inline distT="0" distB="0" distL="114300" distR="114300">
            <wp:extent cx="5759450" cy="2671445"/>
            <wp:effectExtent l="0" t="0" r="12700" b="14605"/>
            <wp:docPr id="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6.供应商查看中标通知</w:t>
      </w:r>
    </w:p>
    <w:p>
      <w:r>
        <w:t>路径：招投标中心-非生产类招投标-</w:t>
      </w:r>
      <w:r>
        <w:rPr>
          <w:rFonts w:hint="eastAsia"/>
        </w:rPr>
        <w:t>中标项目</w:t>
      </w:r>
    </w:p>
    <w:p>
      <w:pPr>
        <w:rPr>
          <w:rFonts w:hint="eastAsia"/>
        </w:rPr>
      </w:pPr>
      <w:r>
        <w:rPr>
          <w:rFonts w:hint="eastAsia"/>
        </w:rPr>
        <w:t>点击查看进入查看中标项目详情</w:t>
      </w:r>
    </w:p>
    <w:p>
      <w:r>
        <w:drawing>
          <wp:inline distT="0" distB="0" distL="114300" distR="114300">
            <wp:extent cx="5759450" cy="2366010"/>
            <wp:effectExtent l="0" t="0" r="12700" b="15240"/>
            <wp:docPr id="2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a:noFill/>
                    <a:ln>
                      <a:noFill/>
                    </a:ln>
                  </pic:spPr>
                </pic:pic>
              </a:graphicData>
            </a:graphic>
          </wp:inline>
        </w:drawing>
      </w:r>
    </w:p>
    <w:p>
      <w:pPr>
        <w:rPr>
          <w:rFonts w:hint="eastAsia"/>
        </w:rPr>
      </w:pPr>
      <w:r>
        <w:drawing>
          <wp:inline distT="0" distB="0" distL="114300" distR="114300">
            <wp:extent cx="5759450" cy="2494915"/>
            <wp:effectExtent l="0" t="0" r="12700" b="63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r>
        <w:rPr>
          <w:rFonts w:hint="eastAsia"/>
        </w:rPr>
        <w:t>点击查看按钮查看中标通知，点击发送按钮给项目负责人发送回执，发送回执之后回执发送状态变为已发送。</w:t>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7.评标纪律</w:t>
      </w:r>
    </w:p>
    <w:p>
      <w:r>
        <w:t>路径：招投标中心-非生产类招投标-</w:t>
      </w:r>
      <w:r>
        <w:rPr>
          <w:rFonts w:hint="eastAsia"/>
        </w:rPr>
        <w:t>供应商投标</w:t>
      </w:r>
    </w:p>
    <w:p>
      <w:pPr>
        <w:rPr>
          <w:rFonts w:hint="eastAsia"/>
        </w:rPr>
      </w:pPr>
      <w:r>
        <w:rPr>
          <w:rFonts w:hint="eastAsia"/>
        </w:rPr>
        <w:t>供应商投标时会弹窗展示评标纪律，要求供应商勾选我已阅知并保证遵守评标记录之后点击确定按钮进入投标界面。</w:t>
      </w:r>
    </w:p>
    <w:p>
      <w:pPr>
        <w:spacing w:line="360" w:lineRule="auto"/>
        <w:rPr>
          <w:rFonts w:hint="eastAsia"/>
          <w:lang w:val="en-US" w:eastAsia="zh-CN"/>
        </w:rPr>
      </w:pPr>
      <w:r>
        <w:drawing>
          <wp:inline distT="0" distB="0" distL="114300" distR="114300">
            <wp:extent cx="5759450" cy="6294120"/>
            <wp:effectExtent l="0" t="0" r="12700" b="11430"/>
            <wp:docPr id="18"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a:noFill/>
                    <a:ln>
                      <a:noFill/>
                    </a:ln>
                  </pic:spPr>
                </pic:pic>
              </a:graphicData>
            </a:graphic>
          </wp:inline>
        </w:drawing>
      </w:r>
    </w:p>
    <w:p>
      <w:pPr>
        <w:spacing w:line="360" w:lineRule="auto"/>
        <w:rPr>
          <w:rFonts w:hint="eastAsia" w:ascii="宋体" w:hAnsi="宋体" w:cs="宋体"/>
          <w:b/>
          <w:bCs/>
          <w:sz w:val="24"/>
          <w:szCs w:val="24"/>
          <w:lang w:val="en-US" w:eastAsia="zh-CN"/>
        </w:rPr>
      </w:pPr>
    </w:p>
    <w:p>
      <w:pPr>
        <w:spacing w:line="360" w:lineRule="auto"/>
        <w:rPr>
          <w:rFonts w:hint="eastAsia" w:ascii="宋体" w:hAnsi="宋体" w:cs="宋体"/>
          <w:b/>
          <w:bCs/>
          <w:sz w:val="24"/>
          <w:szCs w:val="24"/>
          <w:lang w:val="en-US" w:eastAsia="zh-CN"/>
        </w:rPr>
      </w:pPr>
    </w:p>
    <w:p>
      <w:pPr>
        <w:spacing w:line="360" w:lineRule="auto"/>
        <w:rPr>
          <w:rFonts w:hint="eastAsia" w:ascii="宋体" w:hAnsi="宋体" w:cs="宋体"/>
          <w:b/>
          <w:bCs/>
          <w:sz w:val="24"/>
          <w:szCs w:val="24"/>
          <w:lang w:val="en-US" w:eastAsia="zh-CN"/>
        </w:rPr>
      </w:pPr>
    </w:p>
    <w:p>
      <w:pPr>
        <w:spacing w:line="360" w:lineRule="auto"/>
        <w:rPr>
          <w:rFonts w:hint="eastAsia" w:ascii="宋体" w:hAnsi="宋体" w:cs="宋体"/>
          <w:b/>
          <w:bCs/>
          <w:sz w:val="24"/>
          <w:szCs w:val="24"/>
          <w:lang w:val="en-US" w:eastAsia="zh-CN"/>
        </w:rPr>
      </w:pPr>
    </w:p>
    <w:p>
      <w:pPr>
        <w:rPr>
          <w:rFonts w:hint="default"/>
          <w:lang w:val="en-US" w:eastAsia="zh-CN"/>
        </w:rPr>
      </w:pPr>
    </w:p>
    <w:p>
      <w:pPr>
        <w:pStyle w:val="5"/>
        <w:spacing w:before="156" w:beforeLines="50" w:after="156" w:afterLines="50"/>
        <w:jc w:val="center"/>
        <w:outlineLvl w:val="0"/>
        <w:rPr>
          <w:rFonts w:ascii="黑体" w:eastAsia="黑体"/>
          <w:b/>
          <w:bCs/>
          <w:sz w:val="36"/>
          <w:szCs w:val="36"/>
        </w:rPr>
      </w:pPr>
      <w:bookmarkStart w:id="4" w:name="_Toc35956345"/>
      <w:r>
        <w:rPr>
          <w:rFonts w:hint="eastAsia" w:ascii="黑体" w:eastAsia="黑体"/>
          <w:b/>
          <w:bCs/>
          <w:sz w:val="36"/>
          <w:szCs w:val="36"/>
        </w:rPr>
        <w:t xml:space="preserve">第四章  </w:t>
      </w:r>
      <w:bookmarkEnd w:id="4"/>
      <w:r>
        <w:rPr>
          <w:rFonts w:hint="eastAsia" w:ascii="黑体" w:eastAsia="黑体"/>
          <w:b/>
          <w:bCs/>
          <w:sz w:val="36"/>
          <w:szCs w:val="36"/>
        </w:rPr>
        <w:t>技术要求</w:t>
      </w:r>
    </w:p>
    <w:p>
      <w:pPr>
        <w:pStyle w:val="5"/>
        <w:spacing w:line="360" w:lineRule="auto"/>
        <w:rPr>
          <w:szCs w:val="22"/>
        </w:rPr>
      </w:pPr>
      <w:r>
        <w:rPr>
          <w:rFonts w:hAnsi="宋体"/>
          <w:b/>
          <w:bCs/>
        </w:rPr>
        <w:t>一、项目名称</w:t>
      </w:r>
      <w:r>
        <w:rPr>
          <w:rFonts w:hAnsi="宋体"/>
        </w:rPr>
        <w:t>：</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pPr>
        <w:rPr>
          <w:rFonts w:hint="eastAsia" w:hAnsi="宋体" w:eastAsia="宋体"/>
          <w:b/>
          <w:bCs/>
          <w:lang w:eastAsia="zh-CN"/>
        </w:rPr>
      </w:pPr>
      <w:r>
        <w:rPr>
          <w:rFonts w:hint="eastAsia" w:hAnsi="宋体"/>
          <w:b/>
          <w:bCs/>
          <w:lang w:eastAsia="zh-CN"/>
        </w:rPr>
        <w:t>二、</w:t>
      </w:r>
      <w:r>
        <w:rPr>
          <w:rFonts w:hint="eastAsia" w:hAnsi="宋体"/>
          <w:b/>
          <w:bCs/>
        </w:rPr>
        <w:t>标准化要求</w:t>
      </w:r>
      <w:r>
        <w:rPr>
          <w:rFonts w:hint="eastAsia" w:hAnsi="宋体"/>
          <w:b/>
          <w:bCs/>
          <w:lang w:eastAsia="zh-CN"/>
        </w:rPr>
        <w:t>：</w:t>
      </w:r>
    </w:p>
    <w:p>
      <w:pPr>
        <w:pStyle w:val="5"/>
        <w:ind w:firstLine="420" w:firstLineChars="200"/>
        <w:rPr>
          <w:rFonts w:hint="eastAsia"/>
        </w:rPr>
      </w:pPr>
      <w:r>
        <w:rPr>
          <w:rFonts w:hint="eastAsia"/>
        </w:rPr>
        <w:t>1. 由中标单位对招标方现有</w:t>
      </w:r>
      <w:r>
        <w:rPr>
          <w:rFonts w:hint="eastAsia"/>
          <w:lang w:eastAsia="zh-CN"/>
        </w:rPr>
        <w:t>安全</w:t>
      </w:r>
      <w:r>
        <w:rPr>
          <w:rFonts w:hint="eastAsia"/>
          <w:lang w:val="en-US" w:eastAsia="zh-CN"/>
        </w:rPr>
        <w:t>生产类的</w:t>
      </w:r>
      <w:r>
        <w:rPr>
          <w:rFonts w:hint="eastAsia"/>
          <w:lang w:eastAsia="zh-CN"/>
        </w:rPr>
        <w:t>培训需求的人员</w:t>
      </w:r>
      <w:r>
        <w:rPr>
          <w:rFonts w:hint="eastAsia"/>
        </w:rPr>
        <w:t>进行培训取证。</w:t>
      </w:r>
    </w:p>
    <w:p>
      <w:pPr>
        <w:pStyle w:val="5"/>
        <w:ind w:firstLine="420" w:firstLineChars="200"/>
        <w:rPr>
          <w:rFonts w:hint="eastAsia"/>
        </w:rPr>
      </w:pPr>
      <w:r>
        <w:rPr>
          <w:rFonts w:hint="eastAsia"/>
          <w:lang w:val="en-US" w:eastAsia="zh-CN"/>
        </w:rPr>
        <w:t>2.</w:t>
      </w:r>
      <w:r>
        <w:rPr>
          <w:rFonts w:hint="eastAsia"/>
        </w:rPr>
        <w:t>培训项目内容：</w:t>
      </w:r>
    </w:p>
    <w:p>
      <w:pPr>
        <w:pStyle w:val="5"/>
        <w:ind w:firstLine="420" w:firstLineChars="200"/>
        <w:rPr>
          <w:rFonts w:hint="default"/>
          <w:lang w:val="en-US"/>
        </w:rPr>
      </w:pPr>
      <w:r>
        <w:rPr>
          <w:rFonts w:hint="eastAsia"/>
          <w:lang w:val="en-US" w:eastAsia="zh-CN"/>
        </w:rPr>
        <w:t>安全生产类</w:t>
      </w:r>
      <w:r>
        <w:rPr>
          <w:rFonts w:hint="eastAsia"/>
        </w:rPr>
        <w:t>人员。（</w:t>
      </w:r>
      <w:r>
        <w:rPr>
          <w:rFonts w:hint="eastAsia"/>
          <w:lang w:eastAsia="zh-CN"/>
        </w:rPr>
        <w:t>包括但不限于</w:t>
      </w:r>
      <w:r>
        <w:rPr>
          <w:rFonts w:hint="eastAsia"/>
          <w:lang w:val="en-US" w:eastAsia="zh-CN"/>
        </w:rPr>
        <w:t>安全管理人员取证培训（初、复审）、班组长培训、冶金行业安全管理人员等</w:t>
      </w:r>
      <w:r>
        <w:rPr>
          <w:rFonts w:hint="eastAsia"/>
        </w:rPr>
        <w:t>）</w:t>
      </w:r>
    </w:p>
    <w:p>
      <w:pPr>
        <w:pStyle w:val="5"/>
        <w:ind w:firstLine="420" w:firstLineChars="200"/>
        <w:rPr>
          <w:rFonts w:hint="eastAsia"/>
        </w:rPr>
      </w:pPr>
      <w:r>
        <w:rPr>
          <w:rFonts w:hint="eastAsia"/>
        </w:rPr>
        <w:t>3</w:t>
      </w:r>
      <w:r>
        <w:rPr>
          <w:rFonts w:hint="eastAsia"/>
          <w:lang w:eastAsia="zh-CN"/>
        </w:rPr>
        <w:t>.</w:t>
      </w:r>
      <w:r>
        <w:rPr>
          <w:rFonts w:hint="eastAsia"/>
        </w:rPr>
        <w:t>按照国家标准、地方标准及当地应急管理部门要求进行组织培训</w:t>
      </w:r>
      <w:r>
        <w:rPr>
          <w:rFonts w:hint="eastAsia"/>
          <w:lang w:eastAsia="zh-CN"/>
        </w:rPr>
        <w:t>，要求培训教师为山东省专家</w:t>
      </w:r>
      <w:r>
        <w:rPr>
          <w:rFonts w:hint="eastAsia"/>
        </w:rPr>
        <w:t>。</w:t>
      </w:r>
    </w:p>
    <w:p>
      <w:pPr>
        <w:pStyle w:val="5"/>
        <w:ind w:firstLine="420" w:firstLineChars="200"/>
        <w:rPr>
          <w:rFonts w:hint="eastAsia"/>
        </w:rPr>
      </w:pPr>
      <w:r>
        <w:rPr>
          <w:rFonts w:hint="eastAsia"/>
        </w:rPr>
        <w:t>4</w:t>
      </w:r>
      <w:r>
        <w:rPr>
          <w:rFonts w:hint="eastAsia"/>
          <w:lang w:eastAsia="zh-CN"/>
        </w:rPr>
        <w:t>.</w:t>
      </w:r>
      <w:r>
        <w:rPr>
          <w:rFonts w:hint="eastAsia"/>
        </w:rPr>
        <w:t>法律法规（包括但不限于以下现行规定）</w:t>
      </w:r>
    </w:p>
    <w:p>
      <w:pPr>
        <w:pStyle w:val="5"/>
        <w:ind w:firstLine="420" w:firstLineChars="200"/>
        <w:rPr>
          <w:rFonts w:hint="eastAsia" w:eastAsia="宋体"/>
          <w:lang w:eastAsia="zh-CN"/>
        </w:rPr>
      </w:pPr>
      <w:r>
        <w:rPr>
          <w:rFonts w:hint="eastAsia"/>
        </w:rPr>
        <w:t xml:space="preserve"> 《</w:t>
      </w:r>
      <w:r>
        <w:rPr>
          <w:rFonts w:hint="eastAsia"/>
          <w:lang w:eastAsia="zh-CN"/>
        </w:rPr>
        <w:t>中华人民共和国</w:t>
      </w:r>
      <w:r>
        <w:rPr>
          <w:rFonts w:hint="eastAsia"/>
        </w:rPr>
        <w:t>安全生产法》、</w:t>
      </w:r>
      <w:r>
        <w:rPr>
          <w:rFonts w:hint="eastAsia"/>
          <w:lang w:eastAsia="zh-CN"/>
        </w:rPr>
        <w:t>《生产经营单位安全培训规定》、《安全生产培训管理办法》、</w:t>
      </w:r>
      <w:r>
        <w:rPr>
          <w:rFonts w:hint="eastAsia"/>
        </w:rPr>
        <w:t>《特种作业人员安全技术培训考核管理规定》</w:t>
      </w:r>
      <w:r>
        <w:rPr>
          <w:rFonts w:hint="eastAsia"/>
          <w:lang w:eastAsia="zh-CN"/>
        </w:rPr>
        <w:t>、《危险化学品安全管理条例》</w:t>
      </w:r>
      <w:r>
        <w:rPr>
          <w:rFonts w:hint="eastAsia"/>
        </w:rPr>
        <w:t>等</w:t>
      </w:r>
      <w:r>
        <w:rPr>
          <w:rFonts w:hint="eastAsia"/>
          <w:lang w:eastAsia="zh-CN"/>
        </w:rPr>
        <w:t>。</w:t>
      </w:r>
    </w:p>
    <w:p>
      <w:pPr>
        <w:rPr>
          <w:rFonts w:hint="eastAsia" w:hAnsi="宋体"/>
          <w:b/>
          <w:bCs/>
          <w:lang w:eastAsia="zh-CN"/>
        </w:rPr>
      </w:pPr>
      <w:r>
        <w:rPr>
          <w:rFonts w:hint="eastAsia" w:hAnsi="宋体"/>
          <w:b/>
          <w:bCs/>
          <w:lang w:eastAsia="zh-CN"/>
        </w:rPr>
        <w:t>三、技术服务要求：</w:t>
      </w:r>
    </w:p>
    <w:p>
      <w:pPr>
        <w:pStyle w:val="5"/>
        <w:ind w:firstLine="420" w:firstLineChars="200"/>
        <w:rPr>
          <w:rFonts w:hint="eastAsia"/>
        </w:rPr>
      </w:pPr>
      <w:r>
        <w:rPr>
          <w:rFonts w:hint="eastAsia"/>
        </w:rPr>
        <w:t>1</w:t>
      </w:r>
      <w:r>
        <w:rPr>
          <w:rFonts w:hint="eastAsia"/>
          <w:lang w:eastAsia="zh-CN"/>
        </w:rPr>
        <w:t>.</w:t>
      </w:r>
      <w:r>
        <w:rPr>
          <w:rFonts w:hint="eastAsia"/>
        </w:rPr>
        <w:t>投标人应科学制定课程表，并提供完善的培训服务，有效组织培训课程顺利进行，保证培训质量。投标人负责培训取证工作，并在60日内下发证书并负责将证书以邮寄方式交于招标人。</w:t>
      </w:r>
    </w:p>
    <w:p>
      <w:pPr>
        <w:pStyle w:val="5"/>
        <w:ind w:firstLine="420" w:firstLineChars="200"/>
        <w:rPr>
          <w:rFonts w:hint="eastAsia"/>
        </w:rPr>
      </w:pPr>
      <w:r>
        <w:rPr>
          <w:rFonts w:hint="eastAsia"/>
        </w:rPr>
        <w:t xml:space="preserve">2.投标人负责提供招标人培训人员所需要的学习资料及辅导资料。   </w:t>
      </w:r>
    </w:p>
    <w:p>
      <w:pPr>
        <w:pStyle w:val="5"/>
        <w:ind w:firstLine="420" w:firstLineChars="200"/>
        <w:rPr>
          <w:rFonts w:hint="eastAsia"/>
        </w:rPr>
      </w:pPr>
      <w:r>
        <w:rPr>
          <w:rFonts w:hint="eastAsia"/>
        </w:rPr>
        <w:t>3</w:t>
      </w:r>
      <w:r>
        <w:rPr>
          <w:rFonts w:hint="eastAsia"/>
          <w:lang w:eastAsia="zh-CN"/>
        </w:rPr>
        <w:t>.</w:t>
      </w:r>
      <w:r>
        <w:rPr>
          <w:rFonts w:hint="eastAsia"/>
        </w:rPr>
        <w:t>投标人应组织招标人所有参培人员通过参加培训并考试取证工作。</w:t>
      </w:r>
    </w:p>
    <w:p>
      <w:pPr>
        <w:pStyle w:val="5"/>
        <w:ind w:firstLine="420" w:firstLineChars="200"/>
        <w:rPr>
          <w:rFonts w:hint="eastAsia"/>
        </w:rPr>
      </w:pPr>
      <w:r>
        <w:rPr>
          <w:rFonts w:hint="eastAsia"/>
        </w:rPr>
        <w:t>4</w:t>
      </w:r>
      <w:r>
        <w:rPr>
          <w:rFonts w:hint="eastAsia"/>
          <w:lang w:eastAsia="zh-CN"/>
        </w:rPr>
        <w:t>.</w:t>
      </w:r>
      <w:r>
        <w:rPr>
          <w:rFonts w:hint="eastAsia"/>
        </w:rPr>
        <w:t>投标人应在考试后及时通知招标人考试结果，对于考试未通过人员按照当地管理部门要求进行组织参加补考。</w:t>
      </w:r>
    </w:p>
    <w:p>
      <w:pPr>
        <w:pStyle w:val="5"/>
        <w:ind w:firstLine="420" w:firstLineChars="200"/>
        <w:rPr>
          <w:rFonts w:hint="eastAsia"/>
        </w:rPr>
      </w:pPr>
      <w:r>
        <w:rPr>
          <w:rFonts w:hint="eastAsia"/>
        </w:rPr>
        <w:t>5</w:t>
      </w:r>
      <w:r>
        <w:rPr>
          <w:rFonts w:hint="eastAsia"/>
          <w:lang w:eastAsia="zh-CN"/>
        </w:rPr>
        <w:t>.</w:t>
      </w:r>
      <w:r>
        <w:rPr>
          <w:rFonts w:hint="eastAsia"/>
        </w:rPr>
        <w:t>招标人有权对投标人的培训计划提出要求；有权对投标人培训内容达不到要求的提出整改意见。</w:t>
      </w:r>
    </w:p>
    <w:p>
      <w:pPr>
        <w:pStyle w:val="5"/>
        <w:ind w:firstLine="420" w:firstLineChars="200"/>
        <w:rPr>
          <w:rFonts w:hint="eastAsia"/>
        </w:rPr>
      </w:pPr>
      <w:r>
        <w:rPr>
          <w:rFonts w:hint="eastAsia"/>
        </w:rPr>
        <w:t>6</w:t>
      </w:r>
      <w:r>
        <w:rPr>
          <w:rFonts w:hint="eastAsia"/>
          <w:lang w:eastAsia="zh-CN"/>
        </w:rPr>
        <w:t>.</w:t>
      </w:r>
      <w:r>
        <w:rPr>
          <w:rFonts w:hint="eastAsia"/>
        </w:rPr>
        <w:t>投标人应当保证提供的文件和培训内容不得侵犯任何第三方的知识产权等相关权利，若因投标人提供文件或培训内容发生纠纷的，由投标人负责处理，秉承招标人因此遭受的损失。</w:t>
      </w:r>
    </w:p>
    <w:p>
      <w:pPr>
        <w:pStyle w:val="5"/>
        <w:ind w:firstLine="420" w:firstLineChars="200"/>
        <w:rPr>
          <w:rFonts w:hint="default"/>
          <w:lang w:val="en-US" w:eastAsia="zh-CN"/>
        </w:rPr>
      </w:pPr>
      <w:r>
        <w:rPr>
          <w:rFonts w:hint="eastAsia"/>
          <w:lang w:val="en-US" w:eastAsia="zh-CN"/>
        </w:rPr>
        <w:t>7、投标人根据招标人需求对招标项目-安全生产专业技术培训提供授课视频录制服务。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647C8"/>
    <w:multiLevelType w:val="singleLevel"/>
    <w:tmpl w:val="140647C8"/>
    <w:lvl w:ilvl="0" w:tentative="0">
      <w:start w:val="3"/>
      <w:numFmt w:val="chineseCounting"/>
      <w:suff w:val="space"/>
      <w:lvlText w:val="第%1章"/>
      <w:lvlJc w:val="left"/>
      <w:rPr>
        <w:rFonts w:hint="eastAsia"/>
      </w:rPr>
    </w:lvl>
  </w:abstractNum>
  <w:abstractNum w:abstractNumId="1">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ZTc5YzBmOWMyYjYwZjRiMDczMWFlZjU4MmIzYjYifQ=="/>
  </w:docVars>
  <w:rsids>
    <w:rsidRoot w:val="744F1781"/>
    <w:rsid w:val="00305415"/>
    <w:rsid w:val="02974683"/>
    <w:rsid w:val="036D5321"/>
    <w:rsid w:val="04A46E63"/>
    <w:rsid w:val="0C9E19B2"/>
    <w:rsid w:val="103D2D23"/>
    <w:rsid w:val="13E82CBF"/>
    <w:rsid w:val="1D92344B"/>
    <w:rsid w:val="2AC95B49"/>
    <w:rsid w:val="2B9547C1"/>
    <w:rsid w:val="2CB54049"/>
    <w:rsid w:val="2D494B77"/>
    <w:rsid w:val="2FF60017"/>
    <w:rsid w:val="380435A0"/>
    <w:rsid w:val="380F6006"/>
    <w:rsid w:val="4BBF37A2"/>
    <w:rsid w:val="4C772A38"/>
    <w:rsid w:val="50012C6A"/>
    <w:rsid w:val="52692BE1"/>
    <w:rsid w:val="56334369"/>
    <w:rsid w:val="566B01D5"/>
    <w:rsid w:val="5E3F6934"/>
    <w:rsid w:val="5EFF3A46"/>
    <w:rsid w:val="65034239"/>
    <w:rsid w:val="664C3BAD"/>
    <w:rsid w:val="671A2239"/>
    <w:rsid w:val="6FEC22A7"/>
    <w:rsid w:val="744F1781"/>
    <w:rsid w:val="7B296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style>
  <w:style w:type="paragraph" w:styleId="3">
    <w:name w:val="Body Text Indent"/>
    <w:basedOn w:val="1"/>
    <w:unhideWhenUsed/>
    <w:qFormat/>
    <w:uiPriority w:val="99"/>
    <w:pPr>
      <w:spacing w:after="120"/>
      <w:ind w:left="420" w:leftChars="200"/>
    </w:pPr>
    <w:rPr>
      <w:rFonts w:ascii="Calibri" w:hAnsi="Calibri"/>
      <w:szCs w:val="22"/>
    </w:r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39"/>
    <w:pPr>
      <w:tabs>
        <w:tab w:val="right" w:leader="dot" w:pos="8729"/>
      </w:tabs>
      <w:spacing w:line="480" w:lineRule="auto"/>
      <w:jc w:val="left"/>
    </w:pPr>
    <w:rPr>
      <w:rFonts w:ascii="宋体" w:hAnsi="宋体"/>
      <w:b/>
      <w:caps/>
      <w:sz w:val="28"/>
      <w:szCs w:val="28"/>
    </w:rPr>
  </w:style>
  <w:style w:type="character" w:styleId="10">
    <w:name w:val="page number"/>
    <w:basedOn w:val="9"/>
    <w:qFormat/>
    <w:uiPriority w:val="0"/>
  </w:style>
  <w:style w:type="character" w:styleId="11">
    <w:name w:val="Hyperlink"/>
    <w:semiHidden/>
    <w:qFormat/>
    <w:uiPriority w:val="99"/>
    <w:rPr>
      <w:rFonts w:cs="Times New Roman"/>
      <w:color w:val="1F4F88"/>
      <w:u w:val="none"/>
    </w:rPr>
  </w:style>
  <w:style w:type="character" w:customStyle="1" w:styleId="12">
    <w:name w:val="font21"/>
    <w:basedOn w:val="9"/>
    <w:qFormat/>
    <w:uiPriority w:val="0"/>
    <w:rPr>
      <w:rFonts w:hint="eastAsia" w:ascii="仿宋_GB2312" w:eastAsia="仿宋_GB2312" w:cs="仿宋_GB2312"/>
      <w:color w:val="000000"/>
      <w:sz w:val="24"/>
      <w:szCs w:val="24"/>
      <w:u w:val="none"/>
    </w:rPr>
  </w:style>
  <w:style w:type="character" w:customStyle="1" w:styleId="13">
    <w:name w:val="font11"/>
    <w:basedOn w:val="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于晓明</dc:creator>
  <cp:lastModifiedBy>于晓明</cp:lastModifiedBy>
  <dcterms:modified xsi:type="dcterms:W3CDTF">2024-07-26T03:13:45Z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B23075DF6A2E4662ABDDCD78A6C2E1FD</vt:lpwstr>
  </property>
</Properties>
</file>